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D14F9" w14:textId="77777777" w:rsidR="00FF7EA1" w:rsidRDefault="00B80FCE" w:rsidP="00B80FCE">
      <w:pPr>
        <w:rPr>
          <w:color w:val="000000"/>
        </w:rPr>
      </w:pPr>
      <w:r w:rsidRPr="00E759AD">
        <w:rPr>
          <w:rStyle w:val="Strong"/>
          <w:color w:val="000000"/>
        </w:rPr>
        <w:t>1.1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Redegør med udgangspunkt i det vedlagte materiale for, hvilke forhold der har haft betydning for den økonomiske udvikli</w:t>
      </w:r>
      <w:r>
        <w:rPr>
          <w:color w:val="000000"/>
        </w:rPr>
        <w:t>ng i FF Skagen A/S</w:t>
      </w:r>
      <w:r w:rsidRPr="00E759AD">
        <w:rPr>
          <w:color w:val="000000"/>
        </w:rPr>
        <w:t xml:space="preserve">. </w:t>
      </w:r>
    </w:p>
    <w:p w14:paraId="6EA81EB2" w14:textId="77777777" w:rsidR="00FF7EA1" w:rsidRDefault="00FF7EA1" w:rsidP="00B80FCE">
      <w:pPr>
        <w:rPr>
          <w:color w:val="000000"/>
        </w:rPr>
      </w:pPr>
    </w:p>
    <w:p w14:paraId="2CEA4DBE" w14:textId="77777777" w:rsidR="00FF7EA1" w:rsidRDefault="00B80FCE" w:rsidP="00B80FCE">
      <w:pPr>
        <w:rPr>
          <w:color w:val="000000"/>
        </w:rPr>
      </w:pPr>
      <w:r w:rsidRPr="00E759AD">
        <w:rPr>
          <w:rStyle w:val="Strong"/>
          <w:color w:val="000000"/>
        </w:rPr>
        <w:t>1.2 (1</w:t>
      </w:r>
      <w:r>
        <w:rPr>
          <w:rStyle w:val="Strong"/>
          <w:color w:val="000000"/>
        </w:rPr>
        <w:t>0</w:t>
      </w:r>
      <w:r w:rsidRPr="00E759AD">
        <w:rPr>
          <w:rStyle w:val="Strong"/>
          <w:color w:val="000000"/>
        </w:rPr>
        <w:t xml:space="preserve">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 xml:space="preserve">Analyser, hvordan de </w:t>
      </w:r>
      <w:r>
        <w:rPr>
          <w:color w:val="000000"/>
        </w:rPr>
        <w:t>fundne</w:t>
      </w:r>
      <w:r w:rsidRPr="00E759AD">
        <w:rPr>
          <w:color w:val="000000"/>
        </w:rPr>
        <w:t xml:space="preserve"> forhold har påvirket udviklingen i indekstallene for indtjenin</w:t>
      </w:r>
      <w:r>
        <w:rPr>
          <w:color w:val="000000"/>
        </w:rPr>
        <w:t>g og kapitaltilpasning fra 2017 til 20</w:t>
      </w:r>
      <w:r w:rsidRPr="00E759AD">
        <w:rPr>
          <w:color w:val="000000"/>
        </w:rPr>
        <w:t>1</w:t>
      </w:r>
      <w:r>
        <w:rPr>
          <w:color w:val="000000"/>
        </w:rPr>
        <w:t>9</w:t>
      </w:r>
      <w:r w:rsidRPr="00E759AD">
        <w:rPr>
          <w:color w:val="000000"/>
        </w:rPr>
        <w:t xml:space="preserve">. </w:t>
      </w:r>
      <w:r>
        <w:rPr>
          <w:color w:val="000000"/>
        </w:rPr>
        <w:t>Se spørgsmål 1.1.</w:t>
      </w:r>
    </w:p>
    <w:p w14:paraId="4C4D6B0C" w14:textId="77777777" w:rsidR="00FF7EA1" w:rsidRDefault="00FF7EA1" w:rsidP="00B80FCE">
      <w:pPr>
        <w:rPr>
          <w:color w:val="000000"/>
        </w:rPr>
      </w:pPr>
      <w:r>
        <w:rPr>
          <w:color w:val="000000"/>
        </w:rPr>
        <w:br/>
      </w:r>
      <w:r w:rsidR="00B80FCE" w:rsidRPr="00E759AD">
        <w:rPr>
          <w:color w:val="000000"/>
        </w:rPr>
        <w:t xml:space="preserve">Nøgletallene fremgår af bilag 1. </w:t>
      </w:r>
    </w:p>
    <w:p w14:paraId="020C449E" w14:textId="77777777" w:rsidR="00FF7EA1" w:rsidRDefault="00FF7EA1" w:rsidP="00B80FCE">
      <w:pPr>
        <w:rPr>
          <w:color w:val="000000"/>
        </w:rPr>
      </w:pPr>
    </w:p>
    <w:p w14:paraId="00D97CB9" w14:textId="77777777" w:rsidR="00FF7EA1" w:rsidRDefault="00B80FCE" w:rsidP="00B80FCE">
      <w:pPr>
        <w:rPr>
          <w:color w:val="000000"/>
        </w:rPr>
      </w:pPr>
      <w:r w:rsidRPr="00E759AD">
        <w:rPr>
          <w:rStyle w:val="Strong"/>
          <w:color w:val="000000"/>
        </w:rPr>
        <w:t>1.3 (</w:t>
      </w:r>
      <w:r>
        <w:rPr>
          <w:rStyle w:val="Strong"/>
          <w:color w:val="000000"/>
        </w:rPr>
        <w:t>5</w:t>
      </w:r>
      <w:r w:rsidRPr="00E759AD">
        <w:rPr>
          <w:rStyle w:val="Strong"/>
          <w:color w:val="000000"/>
        </w:rPr>
        <w:t xml:space="preserve">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Vurder, hvordan indekstallenes udvikling har påvirket overskudsgraden og aktivern</w:t>
      </w:r>
      <w:r>
        <w:rPr>
          <w:color w:val="000000"/>
        </w:rPr>
        <w:t>es omsætningshastighed fra 2017 til 20</w:t>
      </w:r>
      <w:r w:rsidRPr="00E759AD">
        <w:rPr>
          <w:color w:val="000000"/>
        </w:rPr>
        <w:t>1</w:t>
      </w:r>
      <w:r>
        <w:rPr>
          <w:color w:val="000000"/>
        </w:rPr>
        <w:t>9</w:t>
      </w:r>
      <w:r w:rsidRPr="00E759AD">
        <w:rPr>
          <w:color w:val="000000"/>
        </w:rPr>
        <w:t xml:space="preserve">. </w:t>
      </w:r>
    </w:p>
    <w:p w14:paraId="316A07ED" w14:textId="77777777" w:rsidR="00FF7EA1" w:rsidRDefault="00B80FCE" w:rsidP="00B80FCE">
      <w:pPr>
        <w:rPr>
          <w:color w:val="000000"/>
        </w:rPr>
      </w:pPr>
      <w:r w:rsidRPr="00E759AD">
        <w:rPr>
          <w:color w:val="000000"/>
        </w:rPr>
        <w:br/>
        <w:t xml:space="preserve">Nøgletallene fremgår af bilag 1. </w:t>
      </w:r>
    </w:p>
    <w:p w14:paraId="716C055D" w14:textId="77777777" w:rsidR="00FF7EA1" w:rsidRDefault="00FF7EA1" w:rsidP="00B80FCE">
      <w:pPr>
        <w:rPr>
          <w:color w:val="000000"/>
        </w:rPr>
      </w:pPr>
    </w:p>
    <w:p w14:paraId="24997A0E" w14:textId="4BBECA84" w:rsidR="00B80FCE" w:rsidRDefault="00B80FCE" w:rsidP="00B80FCE">
      <w:pPr>
        <w:rPr>
          <w:color w:val="000000"/>
        </w:rPr>
      </w:pPr>
      <w:r w:rsidRPr="00E759AD">
        <w:rPr>
          <w:rStyle w:val="Strong"/>
          <w:color w:val="000000"/>
        </w:rPr>
        <w:t>1.4 (</w:t>
      </w:r>
      <w:r>
        <w:rPr>
          <w:rStyle w:val="Strong"/>
          <w:color w:val="000000"/>
        </w:rPr>
        <w:t>4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Forklar, hvorfor </w:t>
      </w:r>
      <w:r w:rsidR="00A62C22">
        <w:rPr>
          <w:color w:val="000000"/>
        </w:rPr>
        <w:t>afkastningsgraden</w:t>
      </w:r>
      <w:r>
        <w:rPr>
          <w:color w:val="000000"/>
        </w:rPr>
        <w:t xml:space="preserve"> er faldet fra </w:t>
      </w:r>
      <w:r w:rsidR="001955CF">
        <w:rPr>
          <w:color w:val="000000"/>
        </w:rPr>
        <w:t>6</w:t>
      </w:r>
      <w:r>
        <w:rPr>
          <w:color w:val="000000"/>
        </w:rPr>
        <w:t>,</w:t>
      </w:r>
      <w:r w:rsidR="001955CF">
        <w:rPr>
          <w:color w:val="000000"/>
        </w:rPr>
        <w:t>5</w:t>
      </w:r>
      <w:r>
        <w:rPr>
          <w:color w:val="000000"/>
        </w:rPr>
        <w:t xml:space="preserve"> % i 201</w:t>
      </w:r>
      <w:r w:rsidR="001955CF">
        <w:rPr>
          <w:color w:val="000000"/>
        </w:rPr>
        <w:t>7</w:t>
      </w:r>
      <w:r>
        <w:rPr>
          <w:color w:val="000000"/>
        </w:rPr>
        <w:t xml:space="preserve"> til 2,3 % i 2019</w:t>
      </w:r>
      <w:r w:rsidRPr="00E759AD">
        <w:rPr>
          <w:color w:val="000000"/>
        </w:rPr>
        <w:t xml:space="preserve">. 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  <w:r w:rsidRPr="00E759AD">
        <w:rPr>
          <w:color w:val="000000"/>
        </w:rPr>
        <w:br/>
      </w:r>
    </w:p>
    <w:p w14:paraId="7B11023E" w14:textId="3ACCC577" w:rsidR="00B80FCE" w:rsidRPr="00FF7EA1" w:rsidRDefault="00B80FCE" w:rsidP="00B80FCE">
      <w:pPr>
        <w:rPr>
          <w:rStyle w:val="Strong"/>
          <w:b w:val="0"/>
          <w:bCs w:val="0"/>
        </w:rPr>
      </w:pPr>
      <w:r w:rsidRPr="00020A5B">
        <w:rPr>
          <w:rStyle w:val="Strong"/>
          <w:color w:val="000000"/>
        </w:rPr>
        <w:t>1.5 (</w:t>
      </w:r>
      <w:r>
        <w:rPr>
          <w:rStyle w:val="Strong"/>
          <w:color w:val="000000"/>
        </w:rPr>
        <w:t>4</w:t>
      </w:r>
      <w:r w:rsidRPr="00020A5B">
        <w:rPr>
          <w:rStyle w:val="Strong"/>
          <w:color w:val="000000"/>
        </w:rPr>
        <w:t xml:space="preserve"> %)</w:t>
      </w:r>
      <w:r w:rsidRPr="00020A5B">
        <w:rPr>
          <w:rStyle w:val="Strong"/>
        </w:rPr>
        <w:t> </w:t>
      </w:r>
      <w:r w:rsidRPr="00020A5B">
        <w:rPr>
          <w:rStyle w:val="Strong"/>
        </w:rPr>
        <w:br/>
      </w:r>
      <w:r>
        <w:rPr>
          <w:color w:val="000000"/>
        </w:rPr>
        <w:t>Forklar, hvorfor af- og nedskrivninger er tillagt resultat af primær drift ved beregning af pengestrømme fra driftsaktiviteten</w:t>
      </w:r>
      <w:r>
        <w:t>.</w:t>
      </w:r>
      <w:r w:rsidR="00FF7EA1">
        <w:br/>
      </w:r>
      <w:r w:rsidR="00FF7EA1">
        <w:br/>
      </w:r>
      <w:r>
        <w:t xml:space="preserve">Pengestrømsopgørelsen fremgår af bilag 2. </w:t>
      </w:r>
      <w:r>
        <w:br/>
      </w:r>
    </w:p>
    <w:p w14:paraId="56900E04" w14:textId="77777777" w:rsidR="00B80FCE" w:rsidRDefault="00B80FCE" w:rsidP="00B80FCE">
      <w:r w:rsidRPr="00E759AD">
        <w:rPr>
          <w:rStyle w:val="Strong"/>
          <w:color w:val="000000"/>
        </w:rPr>
        <w:t>1.</w:t>
      </w:r>
      <w:r>
        <w:rPr>
          <w:rStyle w:val="Strong"/>
          <w:color w:val="000000"/>
        </w:rPr>
        <w:t>6</w:t>
      </w:r>
      <w:r w:rsidRPr="00E759AD">
        <w:rPr>
          <w:rStyle w:val="Strong"/>
          <w:color w:val="000000"/>
        </w:rPr>
        <w:t xml:space="preserve"> (</w:t>
      </w:r>
      <w:r>
        <w:rPr>
          <w:rStyle w:val="Strong"/>
          <w:color w:val="000000"/>
        </w:rPr>
        <w:t>5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br/>
        <w:t xml:space="preserve">Vurder, hvor i værdikæden FF Skagen A/S har de største udfordringer. </w:t>
      </w:r>
    </w:p>
    <w:p w14:paraId="6F769547" w14:textId="77777777" w:rsidR="00B80FCE" w:rsidRDefault="00B80FCE" w:rsidP="00B80FCE">
      <w:pPr>
        <w:rPr>
          <w:rStyle w:val="Strong"/>
          <w:color w:val="000000"/>
        </w:rPr>
      </w:pPr>
    </w:p>
    <w:p w14:paraId="3349BF3A" w14:textId="77777777" w:rsidR="00B80FCE" w:rsidRPr="00E759AD" w:rsidRDefault="00B80FCE" w:rsidP="00B80FCE">
      <w:pPr>
        <w:rPr>
          <w:color w:val="000000"/>
        </w:rPr>
      </w:pPr>
      <w:r w:rsidRPr="00E759AD">
        <w:rPr>
          <w:rStyle w:val="Strong"/>
          <w:color w:val="000000"/>
        </w:rPr>
        <w:t>1.</w:t>
      </w:r>
      <w:r>
        <w:rPr>
          <w:rStyle w:val="Strong"/>
          <w:color w:val="000000"/>
        </w:rPr>
        <w:t>7</w:t>
      </w:r>
      <w:r w:rsidRPr="00E759AD">
        <w:rPr>
          <w:rStyle w:val="Strong"/>
          <w:color w:val="000000"/>
        </w:rPr>
        <w:t xml:space="preserve"> (</w:t>
      </w:r>
      <w:r>
        <w:rPr>
          <w:rStyle w:val="Strong"/>
          <w:color w:val="000000"/>
        </w:rPr>
        <w:t>5</w:t>
      </w:r>
      <w:r w:rsidRPr="00E759AD">
        <w:rPr>
          <w:rStyle w:val="Strong"/>
          <w:color w:val="000000"/>
        </w:rPr>
        <w:t xml:space="preserve"> %)</w:t>
      </w:r>
      <w:r>
        <w:rPr>
          <w:color w:val="000000"/>
        </w:rPr>
        <w:br/>
        <w:t>Vurder, hvilke fordele FF Skagen A/S opnår ved investeringen i nye lossefaciliteter.</w:t>
      </w:r>
    </w:p>
    <w:p w14:paraId="76F09A35" w14:textId="77777777" w:rsidR="00B80FCE" w:rsidRDefault="00B80FCE" w:rsidP="00B80FCE">
      <w:pPr>
        <w:shd w:val="clear" w:color="auto" w:fill="FFFFFF"/>
        <w:rPr>
          <w:rStyle w:val="Strong"/>
          <w:color w:val="000000"/>
          <w:shd w:val="clear" w:color="auto" w:fill="FFFFFF"/>
        </w:rPr>
      </w:pPr>
    </w:p>
    <w:p w14:paraId="7782782D" w14:textId="77777777" w:rsidR="00B80FCE" w:rsidRDefault="00B80FCE" w:rsidP="00B80FCE">
      <w:pPr>
        <w:shd w:val="clear" w:color="auto" w:fill="FFFFFF"/>
        <w:rPr>
          <w:rStyle w:val="Strong"/>
          <w:color w:val="000000"/>
          <w:shd w:val="clear" w:color="auto" w:fill="FFFFFF"/>
        </w:rPr>
      </w:pPr>
    </w:p>
    <w:p w14:paraId="082C0520" w14:textId="0A66DC05" w:rsidR="00B80FCE" w:rsidRDefault="00B80FCE" w:rsidP="00B80FCE">
      <w:pPr>
        <w:shd w:val="clear" w:color="auto" w:fill="FFFFFF"/>
        <w:rPr>
          <w:color w:val="000000"/>
          <w:shd w:val="clear" w:color="auto" w:fill="FFFFFF"/>
        </w:rPr>
      </w:pPr>
      <w:r w:rsidRPr="005C37FA">
        <w:rPr>
          <w:rStyle w:val="Strong"/>
          <w:color w:val="000000"/>
          <w:shd w:val="clear" w:color="auto" w:fill="FFFFFF"/>
        </w:rPr>
        <w:t>2.1 (</w:t>
      </w:r>
      <w:r>
        <w:rPr>
          <w:rStyle w:val="Strong"/>
          <w:color w:val="000000"/>
          <w:shd w:val="clear" w:color="auto" w:fill="FFFFFF"/>
        </w:rPr>
        <w:t>4</w:t>
      </w:r>
      <w:r w:rsidRPr="005C37FA">
        <w:rPr>
          <w:rStyle w:val="Strong"/>
          <w:color w:val="000000"/>
          <w:shd w:val="clear" w:color="auto" w:fill="FFFFFF"/>
        </w:rPr>
        <w:t xml:space="preserve"> %)</w:t>
      </w:r>
      <w:r w:rsidRPr="005C37FA">
        <w:rPr>
          <w:color w:val="000000"/>
          <w:shd w:val="clear" w:color="auto" w:fill="FFFFFF"/>
        </w:rPr>
        <w:t> </w:t>
      </w:r>
      <w:r w:rsidRPr="005C37FA">
        <w:rPr>
          <w:color w:val="000000"/>
        </w:rPr>
        <w:br/>
      </w:r>
      <w:r>
        <w:rPr>
          <w:color w:val="000000"/>
          <w:shd w:val="clear" w:color="auto" w:fill="FFFFFF"/>
        </w:rPr>
        <w:t>Redegør for, hvad der kan være årsag til forløbet af de variable omkostninger ved produktion af E-nature.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 w:rsidRPr="005C37FA">
        <w:rPr>
          <w:color w:val="000000"/>
          <w:shd w:val="clear" w:color="auto" w:fill="FFFFFF"/>
        </w:rPr>
        <w:t>De nødvendige informationer fremgår af bilag 3</w:t>
      </w:r>
      <w:r w:rsidR="00271E3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</w:p>
    <w:p w14:paraId="5B1AAA6A" w14:textId="59C49FD3" w:rsidR="008D2836" w:rsidRPr="008D2836" w:rsidRDefault="008D2836" w:rsidP="008D2836">
      <w:pPr>
        <w:rPr>
          <w:b/>
          <w:bCs/>
          <w:color w:val="000000"/>
          <w:shd w:val="clear" w:color="auto" w:fill="FFFFFF"/>
        </w:rPr>
      </w:pPr>
      <w:r w:rsidRPr="005C37FA">
        <w:rPr>
          <w:rStyle w:val="Strong"/>
          <w:color w:val="000000"/>
          <w:shd w:val="clear" w:color="auto" w:fill="FFFFFF"/>
        </w:rPr>
        <w:t>2.</w:t>
      </w:r>
      <w:r>
        <w:rPr>
          <w:rStyle w:val="Strong"/>
          <w:color w:val="000000"/>
          <w:shd w:val="clear" w:color="auto" w:fill="FFFFFF"/>
        </w:rPr>
        <w:t>2</w:t>
      </w:r>
      <w:r w:rsidRPr="005C37FA">
        <w:rPr>
          <w:rStyle w:val="Strong"/>
          <w:color w:val="000000"/>
          <w:shd w:val="clear" w:color="auto" w:fill="FFFFFF"/>
        </w:rPr>
        <w:t xml:space="preserve"> (</w:t>
      </w:r>
      <w:r w:rsidR="009F1CCC">
        <w:rPr>
          <w:rStyle w:val="Strong"/>
          <w:color w:val="000000"/>
          <w:shd w:val="clear" w:color="auto" w:fill="FFFFFF"/>
        </w:rPr>
        <w:t>5</w:t>
      </w:r>
      <w:r w:rsidRPr="005C37FA">
        <w:rPr>
          <w:rStyle w:val="Strong"/>
          <w:color w:val="000000"/>
          <w:shd w:val="clear" w:color="auto" w:fill="FFFFFF"/>
        </w:rPr>
        <w:t xml:space="preserve"> %)</w:t>
      </w:r>
      <w:r w:rsidRPr="005C37FA">
        <w:rPr>
          <w:color w:val="000000"/>
          <w:shd w:val="clear" w:color="auto" w:fill="FFFFFF"/>
        </w:rPr>
        <w:t> </w:t>
      </w:r>
      <w:r w:rsidRPr="005C37FA">
        <w:rPr>
          <w:color w:val="000000"/>
        </w:rPr>
        <w:br/>
      </w:r>
      <w:r>
        <w:t>Vurder, hvilken prisfastsættelsesmetode Ekan A/S anvend</w:t>
      </w:r>
      <w:r w:rsidR="00C066A9">
        <w:t>er</w:t>
      </w:r>
      <w:r>
        <w:t xml:space="preserve"> ved prisfastsættelsen af E-nature.</w:t>
      </w:r>
      <w:r w:rsidR="00C066A9">
        <w:t xml:space="preserve"> Se bilag 3.</w:t>
      </w:r>
    </w:p>
    <w:p w14:paraId="1BCD5307" w14:textId="5A879AAF" w:rsidR="00B80FCE" w:rsidRDefault="008D2836" w:rsidP="00B80FCE">
      <w:pPr>
        <w:rPr>
          <w:color w:val="000000"/>
          <w:shd w:val="clear" w:color="auto" w:fill="FFFFFF"/>
        </w:rPr>
      </w:pPr>
      <w:r>
        <w:rPr>
          <w:rStyle w:val="Strong"/>
          <w:color w:val="000000"/>
          <w:shd w:val="clear" w:color="auto" w:fill="FFFFFF"/>
        </w:rPr>
        <w:br/>
      </w:r>
      <w:r w:rsidR="00B80FCE" w:rsidRPr="005C37FA">
        <w:rPr>
          <w:rStyle w:val="Strong"/>
          <w:color w:val="000000"/>
          <w:shd w:val="clear" w:color="auto" w:fill="FFFFFF"/>
        </w:rPr>
        <w:t>2.</w:t>
      </w:r>
      <w:r>
        <w:rPr>
          <w:rStyle w:val="Strong"/>
          <w:color w:val="000000"/>
          <w:shd w:val="clear" w:color="auto" w:fill="FFFFFF"/>
        </w:rPr>
        <w:t>3</w:t>
      </w:r>
      <w:r w:rsidR="00B80FCE" w:rsidRPr="005C37FA">
        <w:rPr>
          <w:rStyle w:val="Strong"/>
          <w:color w:val="000000"/>
          <w:shd w:val="clear" w:color="auto" w:fill="FFFFFF"/>
        </w:rPr>
        <w:t xml:space="preserve"> (</w:t>
      </w:r>
      <w:r w:rsidR="009F1CCC">
        <w:rPr>
          <w:rStyle w:val="Strong"/>
          <w:color w:val="000000"/>
          <w:shd w:val="clear" w:color="auto" w:fill="FFFFFF"/>
        </w:rPr>
        <w:t>4</w:t>
      </w:r>
      <w:r w:rsidR="00B80FCE" w:rsidRPr="005C37FA">
        <w:rPr>
          <w:rStyle w:val="Strong"/>
          <w:color w:val="000000"/>
          <w:shd w:val="clear" w:color="auto" w:fill="FFFFFF"/>
        </w:rPr>
        <w:t xml:space="preserve"> %)</w:t>
      </w:r>
      <w:r w:rsidR="00B80FCE" w:rsidRPr="005C37FA">
        <w:rPr>
          <w:color w:val="000000"/>
          <w:shd w:val="clear" w:color="auto" w:fill="FFFFFF"/>
        </w:rPr>
        <w:t> </w:t>
      </w:r>
      <w:r w:rsidR="00B80FCE" w:rsidRPr="005C37FA">
        <w:rPr>
          <w:color w:val="000000"/>
        </w:rPr>
        <w:br/>
      </w:r>
      <w:r w:rsidR="00B80FCE" w:rsidRPr="0087767A">
        <w:rPr>
          <w:color w:val="000000"/>
          <w:shd w:val="clear" w:color="auto" w:fill="FFFFFF"/>
        </w:rPr>
        <w:t>Beregn den optimale salgspris og afsætning for </w:t>
      </w:r>
      <w:r w:rsidR="00B80FCE">
        <w:rPr>
          <w:color w:val="000000"/>
          <w:shd w:val="clear" w:color="auto" w:fill="FFFFFF"/>
        </w:rPr>
        <w:t>E-nature</w:t>
      </w:r>
      <w:r w:rsidR="00271E3F">
        <w:rPr>
          <w:color w:val="000000"/>
          <w:shd w:val="clear" w:color="auto" w:fill="FFFFFF"/>
        </w:rPr>
        <w:t>.</w:t>
      </w:r>
      <w:r w:rsidR="00B80FCE">
        <w:rPr>
          <w:color w:val="000000"/>
          <w:shd w:val="clear" w:color="auto" w:fill="FFFFFF"/>
        </w:rPr>
        <w:br/>
      </w:r>
      <w:bookmarkStart w:id="0" w:name="_GoBack"/>
      <w:bookmarkEnd w:id="0"/>
      <w:r w:rsidR="00B80FCE">
        <w:rPr>
          <w:color w:val="000000"/>
          <w:shd w:val="clear" w:color="auto" w:fill="FFFFFF"/>
        </w:rPr>
        <w:br/>
      </w:r>
      <w:r w:rsidR="00B80FCE" w:rsidRPr="005C37FA">
        <w:rPr>
          <w:color w:val="000000"/>
          <w:shd w:val="clear" w:color="auto" w:fill="FFFFFF"/>
        </w:rPr>
        <w:lastRenderedPageBreak/>
        <w:t>De nødvendige informationer fremgår af bilag 3</w:t>
      </w:r>
      <w:r w:rsidR="00271E3F">
        <w:rPr>
          <w:color w:val="000000"/>
          <w:shd w:val="clear" w:color="auto" w:fill="FFFFFF"/>
        </w:rPr>
        <w:t>.</w:t>
      </w:r>
      <w:r w:rsidR="00B80FCE">
        <w:rPr>
          <w:color w:val="000000"/>
          <w:shd w:val="clear" w:color="auto" w:fill="FFFFFF"/>
        </w:rPr>
        <w:br/>
      </w:r>
    </w:p>
    <w:p w14:paraId="2EF6E213" w14:textId="4E1896E2" w:rsidR="00B80FCE" w:rsidRPr="007F6224" w:rsidRDefault="008D2836" w:rsidP="00B80FCE">
      <w:r>
        <w:rPr>
          <w:rStyle w:val="Strong"/>
          <w:color w:val="000000"/>
          <w:shd w:val="clear" w:color="auto" w:fill="FFFFFF"/>
        </w:rPr>
        <w:t>2</w:t>
      </w:r>
      <w:r w:rsidR="00B80FCE" w:rsidRPr="005C37FA">
        <w:rPr>
          <w:rStyle w:val="Strong"/>
          <w:color w:val="000000"/>
          <w:shd w:val="clear" w:color="auto" w:fill="FFFFFF"/>
        </w:rPr>
        <w:t>.</w:t>
      </w:r>
      <w:r>
        <w:rPr>
          <w:rStyle w:val="Strong"/>
          <w:color w:val="000000"/>
          <w:shd w:val="clear" w:color="auto" w:fill="FFFFFF"/>
        </w:rPr>
        <w:t>4</w:t>
      </w:r>
      <w:r w:rsidR="00B80FCE" w:rsidRPr="005C37FA">
        <w:rPr>
          <w:rStyle w:val="Strong"/>
          <w:color w:val="000000"/>
          <w:shd w:val="clear" w:color="auto" w:fill="FFFFFF"/>
        </w:rPr>
        <w:t xml:space="preserve"> (</w:t>
      </w:r>
      <w:r w:rsidR="00B80FCE">
        <w:rPr>
          <w:rStyle w:val="Strong"/>
          <w:color w:val="000000"/>
          <w:shd w:val="clear" w:color="auto" w:fill="FFFFFF"/>
        </w:rPr>
        <w:t>4</w:t>
      </w:r>
      <w:r w:rsidR="00B80FCE" w:rsidRPr="005C37FA">
        <w:rPr>
          <w:rStyle w:val="Strong"/>
          <w:color w:val="000000"/>
          <w:shd w:val="clear" w:color="auto" w:fill="FFFFFF"/>
        </w:rPr>
        <w:t xml:space="preserve"> %)</w:t>
      </w:r>
      <w:r w:rsidR="00B80FCE" w:rsidRPr="005C37FA">
        <w:rPr>
          <w:color w:val="000000"/>
          <w:shd w:val="clear" w:color="auto" w:fill="FFFFFF"/>
        </w:rPr>
        <w:t> </w:t>
      </w:r>
      <w:r w:rsidR="00B80FCE" w:rsidRPr="005C37FA">
        <w:rPr>
          <w:color w:val="000000"/>
        </w:rPr>
        <w:br/>
      </w:r>
      <w:r w:rsidR="00B80FCE">
        <w:rPr>
          <w:color w:val="000000"/>
          <w:shd w:val="clear" w:color="auto" w:fill="FFFFFF"/>
        </w:rPr>
        <w:t>Vurder, hvor meget de variable enhedsomkostninger maksimalt må stige uden, at den optimale salgspris ændres. Se spørgsmål 2.</w:t>
      </w:r>
      <w:r>
        <w:rPr>
          <w:color w:val="000000"/>
          <w:shd w:val="clear" w:color="auto" w:fill="FFFFFF"/>
        </w:rPr>
        <w:t>3</w:t>
      </w:r>
      <w:r w:rsidR="00B80FCE">
        <w:rPr>
          <w:color w:val="000000"/>
          <w:shd w:val="clear" w:color="auto" w:fill="FFFFFF"/>
        </w:rPr>
        <w:t>.</w:t>
      </w:r>
    </w:p>
    <w:p w14:paraId="504BC506" w14:textId="77777777" w:rsidR="00B80FCE" w:rsidRDefault="00B80FCE" w:rsidP="00B80FCE">
      <w:pPr>
        <w:pStyle w:val="Heading1"/>
        <w:shd w:val="clear" w:color="auto" w:fill="FFFFFF"/>
        <w:rPr>
          <w:color w:val="000000"/>
          <w:sz w:val="28"/>
          <w:szCs w:val="28"/>
        </w:rPr>
      </w:pPr>
    </w:p>
    <w:p w14:paraId="212DF6E2" w14:textId="77777777" w:rsidR="00B80FCE" w:rsidRDefault="00B80FCE" w:rsidP="00B80FCE">
      <w:pPr>
        <w:rPr>
          <w:rStyle w:val="Strong"/>
          <w:color w:val="000000"/>
          <w:shd w:val="clear" w:color="auto" w:fill="FFFFFF"/>
        </w:rPr>
      </w:pPr>
    </w:p>
    <w:p w14:paraId="0FC0AD88" w14:textId="515C1AD8" w:rsidR="009C2763" w:rsidRDefault="00B80FCE" w:rsidP="00B80FCE">
      <w:pPr>
        <w:rPr>
          <w:color w:val="000000"/>
          <w:shd w:val="clear" w:color="auto" w:fill="FFFFFF"/>
        </w:rPr>
      </w:pPr>
      <w:r w:rsidRPr="00B54D98">
        <w:rPr>
          <w:rStyle w:val="Strong"/>
          <w:color w:val="000000"/>
          <w:shd w:val="clear" w:color="auto" w:fill="FFFFFF"/>
        </w:rPr>
        <w:t>3.1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="009C2763" w:rsidRPr="009C2763">
        <w:rPr>
          <w:color w:val="000000"/>
          <w:shd w:val="clear" w:color="auto" w:fill="FFFFFF"/>
        </w:rPr>
        <w:t>Redegør for, hvilken investeringsårsag der er tale om.</w:t>
      </w:r>
    </w:p>
    <w:p w14:paraId="1070C5AC" w14:textId="77777777" w:rsidR="009C2763" w:rsidRDefault="009C2763" w:rsidP="00B80FCE">
      <w:pPr>
        <w:rPr>
          <w:color w:val="000000"/>
          <w:shd w:val="clear" w:color="auto" w:fill="FFFFFF"/>
        </w:rPr>
      </w:pPr>
    </w:p>
    <w:p w14:paraId="385EC5D7" w14:textId="2ACD121F" w:rsidR="009C2763" w:rsidRDefault="009C2763" w:rsidP="00B80FCE">
      <w:pPr>
        <w:rPr>
          <w:color w:val="000000"/>
          <w:shd w:val="clear" w:color="auto" w:fill="FFFFFF"/>
        </w:rPr>
      </w:pPr>
      <w:r w:rsidRPr="00B54D98">
        <w:rPr>
          <w:rStyle w:val="Strong"/>
          <w:color w:val="000000"/>
          <w:shd w:val="clear" w:color="auto" w:fill="FFFFFF"/>
        </w:rPr>
        <w:t>3.2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>Opstil investeringsforslagets nettobetalingsstrøm. </w:t>
      </w:r>
    </w:p>
    <w:p w14:paraId="183CE73C" w14:textId="77777777" w:rsidR="00E10E93" w:rsidRPr="009C2763" w:rsidRDefault="00E10E93" w:rsidP="00B80FCE">
      <w:pPr>
        <w:rPr>
          <w:b/>
          <w:bCs/>
          <w:color w:val="000000"/>
          <w:shd w:val="clear" w:color="auto" w:fill="FFFFFF"/>
        </w:rPr>
      </w:pPr>
    </w:p>
    <w:p w14:paraId="0CCF3D56" w14:textId="340B80F3" w:rsidR="00FF7EA1" w:rsidRDefault="00B80FCE" w:rsidP="00B80FCE">
      <w:pPr>
        <w:rPr>
          <w:color w:val="000000"/>
          <w:shd w:val="clear" w:color="auto" w:fill="FFFFFF"/>
        </w:rPr>
      </w:pPr>
      <w:r w:rsidRPr="00B54D98">
        <w:rPr>
          <w:color w:val="000000"/>
          <w:shd w:val="clear" w:color="auto" w:fill="FFFFFF"/>
        </w:rPr>
        <w:t>De nødvendige informationer fremgår af bilag 4. </w:t>
      </w:r>
    </w:p>
    <w:p w14:paraId="544F06CC" w14:textId="44FDBBB7" w:rsidR="00FF7EA1" w:rsidRDefault="009C2763" w:rsidP="00B80FCE">
      <w:pPr>
        <w:rPr>
          <w:color w:val="000000"/>
          <w:shd w:val="clear" w:color="auto" w:fill="FFFFFF"/>
        </w:rPr>
      </w:pPr>
      <w:r>
        <w:rPr>
          <w:rStyle w:val="Strong"/>
          <w:color w:val="000000"/>
          <w:shd w:val="clear" w:color="auto" w:fill="FFFFFF"/>
        </w:rPr>
        <w:br/>
      </w:r>
      <w:r w:rsidRPr="00B54D98">
        <w:rPr>
          <w:rStyle w:val="Strong"/>
          <w:color w:val="000000"/>
          <w:shd w:val="clear" w:color="auto" w:fill="FFFFFF"/>
        </w:rPr>
        <w:t>3.3 (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%)</w:t>
      </w:r>
      <w:r w:rsidRPr="00B54D98">
        <w:rPr>
          <w:color w:val="000000"/>
          <w:shd w:val="clear" w:color="auto" w:fill="FFFFFF"/>
        </w:rPr>
        <w:t> </w:t>
      </w:r>
    </w:p>
    <w:p w14:paraId="47AB91A0" w14:textId="430F6289" w:rsidR="00FF7EA1" w:rsidRDefault="00B80FCE" w:rsidP="00B80FCE">
      <w:pPr>
        <w:rPr>
          <w:color w:val="000000"/>
          <w:shd w:val="clear" w:color="auto" w:fill="FFFFFF"/>
        </w:rPr>
      </w:pPr>
      <w:r w:rsidRPr="00B54D98">
        <w:rPr>
          <w:color w:val="000000"/>
          <w:shd w:val="clear" w:color="auto" w:fill="FFFFFF"/>
        </w:rPr>
        <w:t>Vurder, om investeringen er lønsom. </w:t>
      </w:r>
    </w:p>
    <w:p w14:paraId="0B6A4F24" w14:textId="77777777" w:rsidR="00FF7EA1" w:rsidRDefault="00FF7EA1" w:rsidP="00B80FCE">
      <w:pPr>
        <w:rPr>
          <w:color w:val="000000"/>
          <w:shd w:val="clear" w:color="auto" w:fill="FFFFFF"/>
        </w:rPr>
      </w:pPr>
    </w:p>
    <w:p w14:paraId="4612BB4A" w14:textId="1D1A78EE" w:rsidR="00FF7EA1" w:rsidRDefault="00B80FCE" w:rsidP="00B80FCE">
      <w:pPr>
        <w:rPr>
          <w:color w:val="000000"/>
        </w:rPr>
      </w:pPr>
      <w:r w:rsidRPr="00B54D98">
        <w:rPr>
          <w:rStyle w:val="Strong"/>
          <w:color w:val="000000"/>
          <w:shd w:val="clear" w:color="auto" w:fill="FFFFFF"/>
        </w:rPr>
        <w:t>3.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(</w:t>
      </w:r>
      <w:r>
        <w:rPr>
          <w:rStyle w:val="Strong"/>
          <w:color w:val="000000"/>
          <w:shd w:val="clear" w:color="auto" w:fill="FFFFFF"/>
        </w:rPr>
        <w:t>4</w:t>
      </w:r>
      <w:r w:rsidRPr="00B54D98">
        <w:rPr>
          <w:rStyle w:val="Strong"/>
          <w:color w:val="000000"/>
          <w:shd w:val="clear" w:color="auto" w:fill="FFFFFF"/>
        </w:rPr>
        <w:t xml:space="preserve">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="009C2763" w:rsidRPr="009C2763">
        <w:rPr>
          <w:color w:val="000000"/>
          <w:shd w:val="clear" w:color="auto" w:fill="FFFFFF"/>
        </w:rPr>
        <w:t>Beregn, hvor meget afsætningen mindst skal være, hvis investeringen skal være lønsom.</w:t>
      </w:r>
      <w:r w:rsidR="009C2763" w:rsidRPr="009C2763">
        <w:rPr>
          <w:color w:val="000000"/>
          <w:shd w:val="clear" w:color="auto" w:fill="FFFFFF"/>
        </w:rPr>
        <w:br/>
      </w:r>
    </w:p>
    <w:p w14:paraId="125BC13C" w14:textId="57A7F1B4" w:rsidR="00B80FCE" w:rsidRDefault="00B80FCE" w:rsidP="00B80FCE">
      <w:pPr>
        <w:rPr>
          <w:color w:val="000000"/>
          <w:shd w:val="clear" w:color="auto" w:fill="FFFFFF"/>
        </w:rPr>
      </w:pPr>
      <w:r w:rsidRPr="00B54D98">
        <w:rPr>
          <w:rStyle w:val="Strong"/>
          <w:color w:val="000000"/>
          <w:shd w:val="clear" w:color="auto" w:fill="FFFFFF"/>
        </w:rPr>
        <w:t>3.</w:t>
      </w:r>
      <w:r>
        <w:rPr>
          <w:rStyle w:val="Strong"/>
          <w:color w:val="000000"/>
          <w:shd w:val="clear" w:color="auto" w:fill="FFFFFF"/>
        </w:rPr>
        <w:t>5</w:t>
      </w:r>
      <w:r w:rsidRPr="00B54D98">
        <w:rPr>
          <w:rStyle w:val="Strong"/>
          <w:color w:val="000000"/>
          <w:shd w:val="clear" w:color="auto" w:fill="FFFFFF"/>
        </w:rPr>
        <w:t xml:space="preserve">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 xml:space="preserve">Diskuter, om </w:t>
      </w:r>
      <w:r>
        <w:rPr>
          <w:color w:val="000000"/>
          <w:shd w:val="clear" w:color="auto" w:fill="FFFFFF"/>
        </w:rPr>
        <w:t>AkvaFood</w:t>
      </w:r>
      <w:r w:rsidRPr="00B54D98">
        <w:rPr>
          <w:color w:val="000000"/>
          <w:shd w:val="clear" w:color="auto" w:fill="FFFFFF"/>
        </w:rPr>
        <w:t xml:space="preserve"> A/S bør </w:t>
      </w:r>
      <w:r>
        <w:rPr>
          <w:color w:val="000000"/>
          <w:shd w:val="clear" w:color="auto" w:fill="FFFFFF"/>
        </w:rPr>
        <w:t>investere i robotterne.</w:t>
      </w:r>
      <w:r w:rsidRPr="00B54D98">
        <w:rPr>
          <w:color w:val="000000"/>
          <w:shd w:val="clear" w:color="auto" w:fill="FFFFFF"/>
        </w:rPr>
        <w:t> </w:t>
      </w:r>
    </w:p>
    <w:p w14:paraId="7884C1F6" w14:textId="45EB9524" w:rsidR="00B80FCE" w:rsidRDefault="00B80FCE" w:rsidP="00B80FCE">
      <w:pPr>
        <w:rPr>
          <w:rStyle w:val="Strong"/>
          <w:color w:val="000000"/>
        </w:rPr>
      </w:pPr>
    </w:p>
    <w:p w14:paraId="79C559FF" w14:textId="77777777" w:rsidR="00B80FCE" w:rsidRDefault="00B80FCE" w:rsidP="00B80FCE">
      <w:pPr>
        <w:rPr>
          <w:color w:val="000000"/>
        </w:rPr>
      </w:pPr>
    </w:p>
    <w:p w14:paraId="34AEBFD3" w14:textId="74B6337A" w:rsidR="00FF7EA1" w:rsidRDefault="00B80FCE" w:rsidP="00B80FCE">
      <w:pPr>
        <w:rPr>
          <w:color w:val="000000"/>
        </w:rPr>
      </w:pPr>
      <w:bookmarkStart w:id="1" w:name="_Hlk61431630"/>
      <w:r w:rsidRPr="00106672">
        <w:rPr>
          <w:rStyle w:val="Strong"/>
          <w:color w:val="000000"/>
          <w:shd w:val="clear" w:color="auto" w:fill="FFFFFF"/>
        </w:rPr>
        <w:t>4.1 (4 %)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>
        <w:rPr>
          <w:color w:val="000000"/>
        </w:rPr>
        <w:t xml:space="preserve">Beregn soliditetsgrad, </w:t>
      </w:r>
      <w:r w:rsidR="009C2763">
        <w:rPr>
          <w:color w:val="000000"/>
        </w:rPr>
        <w:t xml:space="preserve">gældsandel, </w:t>
      </w:r>
      <w:r>
        <w:rPr>
          <w:color w:val="000000"/>
        </w:rPr>
        <w:t>afkastningsgrad, gældsrente og egenkapitalens forrentning</w:t>
      </w:r>
      <w:r w:rsidR="00D9143C">
        <w:rPr>
          <w:color w:val="000000"/>
        </w:rPr>
        <w:t xml:space="preserve"> for 2019 og 2020</w:t>
      </w:r>
      <w:r>
        <w:rPr>
          <w:color w:val="000000"/>
        </w:rPr>
        <w:t>.</w:t>
      </w:r>
      <w:r w:rsidRPr="00106672">
        <w:rPr>
          <w:color w:val="000000"/>
        </w:rPr>
        <w:br/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>De nødvendige informationer fremgår af bilag 5. </w:t>
      </w:r>
    </w:p>
    <w:p w14:paraId="7362B88F" w14:textId="77777777" w:rsidR="00FF7EA1" w:rsidRDefault="00FF7EA1" w:rsidP="00B80FCE">
      <w:pPr>
        <w:rPr>
          <w:color w:val="000000"/>
        </w:rPr>
      </w:pPr>
    </w:p>
    <w:p w14:paraId="1811F2DB" w14:textId="2F01CEAE" w:rsidR="00B80FCE" w:rsidRDefault="00B80FCE" w:rsidP="00B80FCE">
      <w:pPr>
        <w:rPr>
          <w:color w:val="000000"/>
          <w:shd w:val="clear" w:color="auto" w:fill="FFFFFF"/>
        </w:rPr>
      </w:pPr>
      <w:r w:rsidRPr="00106672">
        <w:rPr>
          <w:rStyle w:val="Strong"/>
          <w:color w:val="000000"/>
          <w:shd w:val="clear" w:color="auto" w:fill="FFFFFF"/>
        </w:rPr>
        <w:t>4.2 (</w:t>
      </w:r>
      <w:r>
        <w:rPr>
          <w:rStyle w:val="Strong"/>
          <w:color w:val="000000"/>
          <w:shd w:val="clear" w:color="auto" w:fill="FFFFFF"/>
        </w:rPr>
        <w:t>6</w:t>
      </w:r>
      <w:r w:rsidRPr="00106672">
        <w:rPr>
          <w:rStyle w:val="Strong"/>
          <w:color w:val="000000"/>
          <w:shd w:val="clear" w:color="auto" w:fill="FFFFFF"/>
        </w:rPr>
        <w:t xml:space="preserve">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>
        <w:rPr>
          <w:color w:val="000000"/>
          <w:shd w:val="clear" w:color="auto" w:fill="FFFFFF"/>
        </w:rPr>
        <w:t>Analyser virksomhedens vertikale balancestruktur</w:t>
      </w:r>
      <w:r w:rsidRPr="00106672">
        <w:rPr>
          <w:color w:val="000000"/>
          <w:shd w:val="clear" w:color="auto" w:fill="FFFFFF"/>
        </w:rPr>
        <w:t>. </w:t>
      </w:r>
    </w:p>
    <w:p w14:paraId="6D26D36E" w14:textId="77777777" w:rsidR="00FF7EA1" w:rsidRDefault="00FF7EA1" w:rsidP="00B80FCE">
      <w:pPr>
        <w:rPr>
          <w:rStyle w:val="Strong"/>
          <w:color w:val="000000"/>
          <w:shd w:val="clear" w:color="auto" w:fill="FFFFFF"/>
        </w:rPr>
      </w:pPr>
    </w:p>
    <w:p w14:paraId="599B3C36" w14:textId="77777777" w:rsidR="00FF7EA1" w:rsidRDefault="00B80FCE" w:rsidP="00B80FCE">
      <w:pPr>
        <w:rPr>
          <w:color w:val="000000"/>
        </w:rPr>
      </w:pPr>
      <w:r w:rsidRPr="00106672">
        <w:rPr>
          <w:rStyle w:val="Strong"/>
          <w:color w:val="000000"/>
          <w:shd w:val="clear" w:color="auto" w:fill="FFFFFF"/>
        </w:rPr>
        <w:t>4.3 (4 %)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 xml:space="preserve">Diskuter, </w:t>
      </w:r>
      <w:r>
        <w:rPr>
          <w:color w:val="000000"/>
          <w:shd w:val="clear" w:color="auto" w:fill="FFFFFF"/>
        </w:rPr>
        <w:t>om Topus Sild A/S bør finansiere opførelse af fabrikken i Tyskland med egenkapital eller fremmedkapital</w:t>
      </w:r>
      <w:r w:rsidRPr="00106672">
        <w:rPr>
          <w:color w:val="000000"/>
          <w:shd w:val="clear" w:color="auto" w:fill="FFFFFF"/>
        </w:rPr>
        <w:t>. </w:t>
      </w:r>
    </w:p>
    <w:p w14:paraId="4AAAA0C6" w14:textId="77777777" w:rsidR="00FF7EA1" w:rsidRDefault="00FF7EA1" w:rsidP="00B80FCE">
      <w:pPr>
        <w:rPr>
          <w:color w:val="000000"/>
        </w:rPr>
      </w:pPr>
    </w:p>
    <w:p w14:paraId="039E7209" w14:textId="183D2533" w:rsidR="00B80FCE" w:rsidRPr="00A40BBD" w:rsidRDefault="00B80FCE" w:rsidP="00B80FCE">
      <w:pPr>
        <w:rPr>
          <w:color w:val="000000"/>
        </w:rPr>
      </w:pPr>
      <w:r w:rsidRPr="00106672">
        <w:rPr>
          <w:rStyle w:val="Strong"/>
          <w:color w:val="000000"/>
          <w:shd w:val="clear" w:color="auto" w:fill="FFFFFF"/>
        </w:rPr>
        <w:t>4.</w:t>
      </w:r>
      <w:r>
        <w:rPr>
          <w:rStyle w:val="Strong"/>
          <w:color w:val="000000"/>
          <w:shd w:val="clear" w:color="auto" w:fill="FFFFFF"/>
        </w:rPr>
        <w:t>4</w:t>
      </w:r>
      <w:r w:rsidRPr="00106672">
        <w:rPr>
          <w:rStyle w:val="Strong"/>
          <w:color w:val="000000"/>
          <w:shd w:val="clear" w:color="auto" w:fill="FFFFFF"/>
        </w:rPr>
        <w:t xml:space="preserve"> (</w:t>
      </w:r>
      <w:r>
        <w:rPr>
          <w:rStyle w:val="Strong"/>
          <w:color w:val="000000"/>
          <w:shd w:val="clear" w:color="auto" w:fill="FFFFFF"/>
        </w:rPr>
        <w:t>6</w:t>
      </w:r>
      <w:r w:rsidRPr="00106672">
        <w:rPr>
          <w:rStyle w:val="Strong"/>
          <w:color w:val="000000"/>
          <w:shd w:val="clear" w:color="auto" w:fill="FFFFFF"/>
        </w:rPr>
        <w:t xml:space="preserve">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>Vurder, hv</w:t>
      </w:r>
      <w:r>
        <w:rPr>
          <w:color w:val="000000"/>
          <w:shd w:val="clear" w:color="auto" w:fill="FFFFFF"/>
        </w:rPr>
        <w:t xml:space="preserve">ordan investeringen i en fabrik i Tyskland vil påvirke virksomhedens </w:t>
      </w:r>
      <w:r w:rsidR="009C2763">
        <w:rPr>
          <w:color w:val="000000"/>
          <w:shd w:val="clear" w:color="auto" w:fill="FFFFFF"/>
        </w:rPr>
        <w:t>leveringsservice</w:t>
      </w:r>
      <w:r>
        <w:rPr>
          <w:color w:val="000000"/>
          <w:shd w:val="clear" w:color="auto" w:fill="FFFFFF"/>
        </w:rPr>
        <w:t>.</w:t>
      </w:r>
    </w:p>
    <w:bookmarkEnd w:id="1"/>
    <w:p w14:paraId="3D9F4268" w14:textId="0505D980" w:rsidR="00375386" w:rsidRPr="00B631DB" w:rsidRDefault="00375386" w:rsidP="004A7A6E">
      <w:pPr>
        <w:rPr>
          <w:color w:val="000000"/>
        </w:rPr>
      </w:pPr>
    </w:p>
    <w:sectPr w:rsidR="00375386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63FB" w14:textId="77777777" w:rsidR="004854A0" w:rsidRDefault="004854A0" w:rsidP="006D2267">
      <w:r>
        <w:separator/>
      </w:r>
    </w:p>
  </w:endnote>
  <w:endnote w:type="continuationSeparator" w:id="0">
    <w:p w14:paraId="3CB400EC" w14:textId="77777777" w:rsidR="004854A0" w:rsidRDefault="004854A0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E2CA" w14:textId="3DB6AAD0" w:rsidR="00824777" w:rsidRDefault="00824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1517B">
      <w:rPr>
        <w:noProof/>
      </w:rPr>
      <w:t>2</w:t>
    </w:r>
    <w: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BCECD" w14:textId="77777777" w:rsidR="004854A0" w:rsidRDefault="004854A0" w:rsidP="006D2267">
      <w:r>
        <w:separator/>
      </w:r>
    </w:p>
  </w:footnote>
  <w:footnote w:type="continuationSeparator" w:id="0">
    <w:p w14:paraId="3D988314" w14:textId="77777777" w:rsidR="004854A0" w:rsidRDefault="004854A0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5BC386D3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Fag</w:t>
          </w:r>
          <w:r w:rsidR="001B383F" w:rsidRPr="001F65D3">
            <w:rPr>
              <w:lang w:val="da-DK"/>
            </w:rPr>
            <w:t xml:space="preserve">: </w:t>
          </w:r>
          <w:r>
            <w:rPr>
              <w:lang w:val="da-DK"/>
            </w:rPr>
            <w:t>Virksomhedsøkonomi</w:t>
          </w:r>
        </w:p>
      </w:tc>
      <w:tc>
        <w:tcPr>
          <w:tcW w:w="4110" w:type="dxa"/>
        </w:tcPr>
        <w:p w14:paraId="2293A859" w14:textId="540ED5B3" w:rsidR="001B383F" w:rsidRPr="001F65D3" w:rsidRDefault="001B383F" w:rsidP="00B92873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  <w:r w:rsidR="005E6B9E">
            <w:rPr>
              <w:lang w:val="da-DK"/>
            </w:rPr>
            <w:t xml:space="preserve">1. </w:t>
          </w:r>
          <w:r w:rsidR="00B80FCE">
            <w:rPr>
              <w:lang w:val="da-DK"/>
            </w:rPr>
            <w:t>juni</w:t>
          </w:r>
          <w:r w:rsidR="005E6B9E">
            <w:rPr>
              <w:lang w:val="da-DK"/>
            </w:rPr>
            <w:t xml:space="preserve"> 202</w:t>
          </w:r>
          <w:r w:rsidR="00B80FCE">
            <w:rPr>
              <w:lang w:val="da-DK"/>
            </w:rPr>
            <w:t>1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2E534E11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Niveau</w:t>
          </w:r>
          <w:r w:rsidR="001B383F" w:rsidRPr="001F65D3">
            <w:rPr>
              <w:lang w:val="da-DK"/>
            </w:rPr>
            <w:t>:</w:t>
          </w:r>
          <w:r>
            <w:rPr>
              <w:lang w:val="da-DK"/>
            </w:rPr>
            <w:t xml:space="preserve"> A</w:t>
          </w:r>
          <w:r w:rsidR="001B383F" w:rsidRPr="001F65D3">
            <w:rPr>
              <w:lang w:val="da-DK"/>
            </w:rPr>
            <w:t xml:space="preserve">  </w:t>
          </w:r>
        </w:p>
      </w:tc>
      <w:tc>
        <w:tcPr>
          <w:tcW w:w="4110" w:type="dxa"/>
        </w:tcPr>
        <w:p w14:paraId="69AE8D5D" w14:textId="7DF58DB2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E1517B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E1517B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50142"/>
    <w:rsid w:val="0005201E"/>
    <w:rsid w:val="00074C2E"/>
    <w:rsid w:val="000969C3"/>
    <w:rsid w:val="000B319E"/>
    <w:rsid w:val="000C6F7C"/>
    <w:rsid w:val="000D6173"/>
    <w:rsid w:val="000D7073"/>
    <w:rsid w:val="000E5105"/>
    <w:rsid w:val="000F4CD0"/>
    <w:rsid w:val="00103CD2"/>
    <w:rsid w:val="00105E34"/>
    <w:rsid w:val="00116840"/>
    <w:rsid w:val="0011730F"/>
    <w:rsid w:val="00117445"/>
    <w:rsid w:val="001400F3"/>
    <w:rsid w:val="0014070D"/>
    <w:rsid w:val="00175F9E"/>
    <w:rsid w:val="0018314C"/>
    <w:rsid w:val="00187132"/>
    <w:rsid w:val="0018760D"/>
    <w:rsid w:val="00187FEF"/>
    <w:rsid w:val="001935BD"/>
    <w:rsid w:val="001955CF"/>
    <w:rsid w:val="001962CB"/>
    <w:rsid w:val="00196D5F"/>
    <w:rsid w:val="001A6415"/>
    <w:rsid w:val="001B1A0A"/>
    <w:rsid w:val="001B383F"/>
    <w:rsid w:val="001B4B11"/>
    <w:rsid w:val="001B6C7E"/>
    <w:rsid w:val="001D4556"/>
    <w:rsid w:val="001D6840"/>
    <w:rsid w:val="001D6E07"/>
    <w:rsid w:val="001E0DAA"/>
    <w:rsid w:val="001E1F80"/>
    <w:rsid w:val="001F65D3"/>
    <w:rsid w:val="00202061"/>
    <w:rsid w:val="00204B3B"/>
    <w:rsid w:val="00214C26"/>
    <w:rsid w:val="00221790"/>
    <w:rsid w:val="00232D98"/>
    <w:rsid w:val="00234BEA"/>
    <w:rsid w:val="00240CCB"/>
    <w:rsid w:val="002568E0"/>
    <w:rsid w:val="00260626"/>
    <w:rsid w:val="00261868"/>
    <w:rsid w:val="00263786"/>
    <w:rsid w:val="00271E3F"/>
    <w:rsid w:val="00282D5B"/>
    <w:rsid w:val="002832DB"/>
    <w:rsid w:val="002942EC"/>
    <w:rsid w:val="002978C7"/>
    <w:rsid w:val="002A4D2C"/>
    <w:rsid w:val="002B49F1"/>
    <w:rsid w:val="002C6852"/>
    <w:rsid w:val="002D2429"/>
    <w:rsid w:val="002D26B7"/>
    <w:rsid w:val="002E78D4"/>
    <w:rsid w:val="002F5093"/>
    <w:rsid w:val="002F5BB9"/>
    <w:rsid w:val="002F7CBD"/>
    <w:rsid w:val="00304ED5"/>
    <w:rsid w:val="003054B6"/>
    <w:rsid w:val="00314082"/>
    <w:rsid w:val="00317823"/>
    <w:rsid w:val="00327554"/>
    <w:rsid w:val="00336D06"/>
    <w:rsid w:val="00340CA3"/>
    <w:rsid w:val="00354B00"/>
    <w:rsid w:val="0035582E"/>
    <w:rsid w:val="00356512"/>
    <w:rsid w:val="00361E88"/>
    <w:rsid w:val="00365687"/>
    <w:rsid w:val="00370EC6"/>
    <w:rsid w:val="00375386"/>
    <w:rsid w:val="003B071E"/>
    <w:rsid w:val="003B6722"/>
    <w:rsid w:val="003C3459"/>
    <w:rsid w:val="00410822"/>
    <w:rsid w:val="0041160F"/>
    <w:rsid w:val="00417C88"/>
    <w:rsid w:val="00423398"/>
    <w:rsid w:val="00425FC7"/>
    <w:rsid w:val="00436094"/>
    <w:rsid w:val="0044062F"/>
    <w:rsid w:val="00472F88"/>
    <w:rsid w:val="00473FB0"/>
    <w:rsid w:val="00483808"/>
    <w:rsid w:val="004854A0"/>
    <w:rsid w:val="004948E5"/>
    <w:rsid w:val="004A7A6E"/>
    <w:rsid w:val="004B2D60"/>
    <w:rsid w:val="004B4EF1"/>
    <w:rsid w:val="004B7611"/>
    <w:rsid w:val="004B7F1D"/>
    <w:rsid w:val="004E04D0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B7F29"/>
    <w:rsid w:val="005D23D3"/>
    <w:rsid w:val="005E6B9E"/>
    <w:rsid w:val="005F7C33"/>
    <w:rsid w:val="0060165B"/>
    <w:rsid w:val="006023ED"/>
    <w:rsid w:val="00604945"/>
    <w:rsid w:val="00613E29"/>
    <w:rsid w:val="0061725D"/>
    <w:rsid w:val="006221A2"/>
    <w:rsid w:val="00626A06"/>
    <w:rsid w:val="006605DB"/>
    <w:rsid w:val="00665ECE"/>
    <w:rsid w:val="006677C6"/>
    <w:rsid w:val="00676A37"/>
    <w:rsid w:val="00681D2A"/>
    <w:rsid w:val="00691407"/>
    <w:rsid w:val="006B3504"/>
    <w:rsid w:val="006C5421"/>
    <w:rsid w:val="006D2267"/>
    <w:rsid w:val="006E7FBB"/>
    <w:rsid w:val="00711CE7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311"/>
    <w:rsid w:val="00831567"/>
    <w:rsid w:val="00833FF6"/>
    <w:rsid w:val="00873317"/>
    <w:rsid w:val="00875AA3"/>
    <w:rsid w:val="00881799"/>
    <w:rsid w:val="008843CD"/>
    <w:rsid w:val="008858BF"/>
    <w:rsid w:val="00893527"/>
    <w:rsid w:val="00893B75"/>
    <w:rsid w:val="00895A3D"/>
    <w:rsid w:val="008A0845"/>
    <w:rsid w:val="008A7F30"/>
    <w:rsid w:val="008B2456"/>
    <w:rsid w:val="008D2836"/>
    <w:rsid w:val="008D435F"/>
    <w:rsid w:val="008D5CE4"/>
    <w:rsid w:val="008E7CB4"/>
    <w:rsid w:val="009107D0"/>
    <w:rsid w:val="009137C2"/>
    <w:rsid w:val="009142DC"/>
    <w:rsid w:val="0091587E"/>
    <w:rsid w:val="009231AE"/>
    <w:rsid w:val="009362D8"/>
    <w:rsid w:val="0093758F"/>
    <w:rsid w:val="00941107"/>
    <w:rsid w:val="00964ED6"/>
    <w:rsid w:val="00972793"/>
    <w:rsid w:val="00990CE4"/>
    <w:rsid w:val="009919CB"/>
    <w:rsid w:val="009942BC"/>
    <w:rsid w:val="009A5C85"/>
    <w:rsid w:val="009B2800"/>
    <w:rsid w:val="009C2763"/>
    <w:rsid w:val="009F1CCC"/>
    <w:rsid w:val="00A04B1C"/>
    <w:rsid w:val="00A05B5E"/>
    <w:rsid w:val="00A07E9E"/>
    <w:rsid w:val="00A13A75"/>
    <w:rsid w:val="00A20641"/>
    <w:rsid w:val="00A22AED"/>
    <w:rsid w:val="00A34F50"/>
    <w:rsid w:val="00A41776"/>
    <w:rsid w:val="00A47801"/>
    <w:rsid w:val="00A47881"/>
    <w:rsid w:val="00A52BD2"/>
    <w:rsid w:val="00A62C22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1458"/>
    <w:rsid w:val="00B46909"/>
    <w:rsid w:val="00B610F5"/>
    <w:rsid w:val="00B631DB"/>
    <w:rsid w:val="00B72909"/>
    <w:rsid w:val="00B80FCE"/>
    <w:rsid w:val="00B8473C"/>
    <w:rsid w:val="00B92873"/>
    <w:rsid w:val="00BA46DC"/>
    <w:rsid w:val="00BB2362"/>
    <w:rsid w:val="00BC203C"/>
    <w:rsid w:val="00BE5864"/>
    <w:rsid w:val="00BE6E35"/>
    <w:rsid w:val="00C066A9"/>
    <w:rsid w:val="00C1286E"/>
    <w:rsid w:val="00C23346"/>
    <w:rsid w:val="00C33A75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D5C80"/>
    <w:rsid w:val="00CE3138"/>
    <w:rsid w:val="00CF72EA"/>
    <w:rsid w:val="00D040E4"/>
    <w:rsid w:val="00D55A75"/>
    <w:rsid w:val="00D9143C"/>
    <w:rsid w:val="00D968CE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0E93"/>
    <w:rsid w:val="00E1517B"/>
    <w:rsid w:val="00E15ACF"/>
    <w:rsid w:val="00E32E9D"/>
    <w:rsid w:val="00E41ECB"/>
    <w:rsid w:val="00E41ED6"/>
    <w:rsid w:val="00E44F74"/>
    <w:rsid w:val="00E474E9"/>
    <w:rsid w:val="00E571DB"/>
    <w:rsid w:val="00E71E7F"/>
    <w:rsid w:val="00E832BA"/>
    <w:rsid w:val="00EA579D"/>
    <w:rsid w:val="00EC6C77"/>
    <w:rsid w:val="00EC7A37"/>
    <w:rsid w:val="00ED111E"/>
    <w:rsid w:val="00ED26F6"/>
    <w:rsid w:val="00EE3FEE"/>
    <w:rsid w:val="00EF7691"/>
    <w:rsid w:val="00F02BA7"/>
    <w:rsid w:val="00F04658"/>
    <w:rsid w:val="00F07C36"/>
    <w:rsid w:val="00F34DD1"/>
    <w:rsid w:val="00F41A5F"/>
    <w:rsid w:val="00F458BB"/>
    <w:rsid w:val="00F47956"/>
    <w:rsid w:val="00F51A9E"/>
    <w:rsid w:val="00F51BC7"/>
    <w:rsid w:val="00F533F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0FCE"/>
    <w:pPr>
      <w:spacing w:after="75"/>
      <w:outlineLvl w:val="0"/>
    </w:pPr>
    <w:rPr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0FCE"/>
    <w:rPr>
      <w:rFonts w:ascii="Times New Roman" w:eastAsia="Times New Roman" w:hAnsi="Times New Roman"/>
      <w:b/>
      <w:bCs/>
      <w:kern w:val="36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2021-01-21T13:30:00Z</dcterms:created>
  <dcterms:modified xsi:type="dcterms:W3CDTF">2021-02-24T12:44:00Z</dcterms:modified>
</cp:coreProperties>
</file>