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D3" w:rsidRPr="00C669E3" w:rsidRDefault="00FF0CD3" w:rsidP="00FF0CD3">
      <w:bookmarkStart w:id="0" w:name="_GoBack"/>
      <w:bookmarkEnd w:id="0"/>
      <w:r w:rsidRPr="00C669E3">
        <w:rPr>
          <w:b/>
          <w:bCs/>
        </w:rPr>
        <w:t xml:space="preserve">1.1 </w:t>
      </w:r>
      <w:r w:rsidRPr="00C669E3">
        <w:rPr>
          <w:b/>
          <w:color w:val="000000"/>
        </w:rPr>
        <w:t>(10 %)</w:t>
      </w:r>
    </w:p>
    <w:p w:rsidR="00FF0CD3" w:rsidRDefault="00FF0CD3" w:rsidP="00FF0CD3">
      <w:pPr>
        <w:rPr>
          <w:rFonts w:eastAsia="MS Mincho"/>
          <w:bCs/>
        </w:rPr>
      </w:pPr>
      <w:r w:rsidRPr="00C669E3">
        <w:rPr>
          <w:rFonts w:eastAsia="MS Mincho"/>
          <w:bCs/>
        </w:rPr>
        <w:t>Redegør for, hvilke interne og eksterne forhold der har haft betydning for den økonomiske udviklin</w:t>
      </w:r>
      <w:r>
        <w:rPr>
          <w:rFonts w:eastAsia="MS Mincho"/>
          <w:bCs/>
        </w:rPr>
        <w:t>g i Søstrene Grenes Holding ApS.</w:t>
      </w:r>
    </w:p>
    <w:p w:rsidR="00FF0CD3" w:rsidRPr="008D42E1" w:rsidRDefault="00FF0CD3" w:rsidP="00FF0CD3">
      <w:pPr>
        <w:rPr>
          <w:rFonts w:eastAsia="MS Mincho"/>
          <w:bCs/>
        </w:rPr>
      </w:pPr>
    </w:p>
    <w:p w:rsidR="00FF0CD3" w:rsidRPr="00AF2E87" w:rsidRDefault="00AF2E87" w:rsidP="00FF0CD3">
      <w:pPr>
        <w:rPr>
          <w:rFonts w:eastAsia="MS Mincho"/>
          <w:bCs/>
        </w:rPr>
      </w:pPr>
      <w:r>
        <w:rPr>
          <w:rFonts w:eastAsia="MS Mincho"/>
          <w:b/>
          <w:bCs/>
        </w:rPr>
        <w:t>1.2 (15</w:t>
      </w:r>
      <w:r w:rsidR="00FF0CD3" w:rsidRPr="00C669E3">
        <w:rPr>
          <w:rFonts w:eastAsia="MS Mincho"/>
          <w:b/>
          <w:bCs/>
        </w:rPr>
        <w:t xml:space="preserve"> %)</w:t>
      </w:r>
    </w:p>
    <w:p w:rsidR="00FF0CD3" w:rsidRPr="00ED007B" w:rsidRDefault="00FF0CD3" w:rsidP="00FF0CD3">
      <w:pPr>
        <w:rPr>
          <w:rFonts w:eastAsia="MS Mincho"/>
          <w:bCs/>
        </w:rPr>
      </w:pPr>
      <w:r w:rsidRPr="00ED007B">
        <w:rPr>
          <w:rFonts w:eastAsia="MS Mincho"/>
          <w:bCs/>
        </w:rPr>
        <w:t>Analyser, hvordan de interne og eksterne forhold har påvirket udviklingen i indekstallene for indtjening og kapitaltilpasning fra 2015/16 til 2017/18.</w:t>
      </w:r>
    </w:p>
    <w:p w:rsidR="00FF0CD3" w:rsidRDefault="00FF0CD3" w:rsidP="00FF0CD3">
      <w:pPr>
        <w:rPr>
          <w:rFonts w:eastAsia="MS Mincho"/>
          <w:bCs/>
        </w:rPr>
      </w:pPr>
    </w:p>
    <w:p w:rsidR="00FF0CD3" w:rsidRPr="00C669E3" w:rsidRDefault="00FF0CD3" w:rsidP="00FF0CD3">
      <w:pPr>
        <w:rPr>
          <w:rFonts w:eastAsia="MS Mincho"/>
          <w:bCs/>
        </w:rPr>
      </w:pPr>
      <w:r w:rsidRPr="00C669E3">
        <w:rPr>
          <w:rFonts w:eastAsia="MS Mincho"/>
          <w:bCs/>
        </w:rPr>
        <w:t>Nøgletallene fremgår af bilag 1.</w:t>
      </w:r>
    </w:p>
    <w:p w:rsidR="00FF0CD3" w:rsidRPr="00F70D77" w:rsidRDefault="00FF0CD3" w:rsidP="00FF0CD3">
      <w:pPr>
        <w:rPr>
          <w:rFonts w:eastAsia="MS Mincho"/>
          <w:bCs/>
        </w:rPr>
      </w:pPr>
    </w:p>
    <w:p w:rsidR="00FF0CD3" w:rsidRPr="00AF2E87" w:rsidRDefault="00AF2E87" w:rsidP="00FF0CD3">
      <w:pPr>
        <w:rPr>
          <w:rFonts w:eastAsia="MS Mincho"/>
          <w:bCs/>
        </w:rPr>
      </w:pPr>
      <w:r>
        <w:rPr>
          <w:rFonts w:eastAsia="MS Mincho"/>
          <w:b/>
          <w:bCs/>
        </w:rPr>
        <w:t>1.3 (10</w:t>
      </w:r>
      <w:r w:rsidR="00FF0CD3" w:rsidRPr="00C669E3">
        <w:rPr>
          <w:rFonts w:eastAsia="MS Mincho"/>
          <w:b/>
          <w:bCs/>
        </w:rPr>
        <w:t xml:space="preserve"> %)</w:t>
      </w:r>
    </w:p>
    <w:p w:rsidR="00FF0CD3" w:rsidRDefault="00FF0CD3" w:rsidP="00FF0CD3">
      <w:pPr>
        <w:rPr>
          <w:rFonts w:eastAsia="MS Mincho"/>
          <w:bCs/>
        </w:rPr>
      </w:pPr>
      <w:r>
        <w:rPr>
          <w:rFonts w:eastAsia="MS Mincho"/>
          <w:bCs/>
        </w:rPr>
        <w:t>Vurder, hvordan indekstallenes udvikling har påvirket</w:t>
      </w:r>
      <w:r w:rsidRPr="00C669E3">
        <w:rPr>
          <w:rFonts w:eastAsia="MS Mincho"/>
          <w:bCs/>
        </w:rPr>
        <w:t xml:space="preserve"> overskudsgraden og aktivernes omsætningsha</w:t>
      </w:r>
      <w:r>
        <w:rPr>
          <w:rFonts w:eastAsia="MS Mincho"/>
          <w:bCs/>
        </w:rPr>
        <w:t>stighed fra 2015/16 til 2017/18.</w:t>
      </w:r>
    </w:p>
    <w:p w:rsidR="00FF0CD3" w:rsidRDefault="00FF0CD3" w:rsidP="00FF0CD3">
      <w:pPr>
        <w:rPr>
          <w:rFonts w:eastAsia="MS Mincho"/>
          <w:bCs/>
        </w:rPr>
      </w:pPr>
    </w:p>
    <w:p w:rsidR="00FF0CD3" w:rsidRDefault="00FF0CD3" w:rsidP="00FF0CD3">
      <w:pPr>
        <w:rPr>
          <w:rFonts w:eastAsia="MS Mincho"/>
          <w:bCs/>
        </w:rPr>
      </w:pPr>
      <w:r>
        <w:rPr>
          <w:rFonts w:eastAsia="MS Mincho"/>
          <w:bCs/>
        </w:rPr>
        <w:t>Nøgletallene fremgår af bilag 1.</w:t>
      </w:r>
    </w:p>
    <w:p w:rsidR="00FF0CD3" w:rsidRDefault="00FF0CD3" w:rsidP="00FF0CD3">
      <w:pPr>
        <w:rPr>
          <w:color w:val="000000"/>
        </w:rPr>
      </w:pPr>
    </w:p>
    <w:p w:rsidR="00FF0CD3" w:rsidRDefault="00FF0CD3" w:rsidP="00FF0CD3">
      <w:pPr>
        <w:rPr>
          <w:color w:val="000000"/>
        </w:rPr>
      </w:pPr>
      <w:r w:rsidRPr="00C669E3">
        <w:rPr>
          <w:b/>
          <w:color w:val="000000"/>
        </w:rPr>
        <w:t>1.4 (5 %)</w:t>
      </w:r>
    </w:p>
    <w:p w:rsidR="00FF0CD3" w:rsidRDefault="00FF0CD3" w:rsidP="00FF0CD3">
      <w:pPr>
        <w:rPr>
          <w:color w:val="000000"/>
        </w:rPr>
      </w:pPr>
      <w:r>
        <w:rPr>
          <w:color w:val="000000"/>
        </w:rPr>
        <w:t>Forklar, hvorfor egenkapitalens forrentning stiger fra 24,7 % i 2016/17 til 41,3 % i 2017/18.</w:t>
      </w:r>
    </w:p>
    <w:p w:rsidR="00FF0CD3" w:rsidRDefault="00FF0CD3" w:rsidP="00FF0CD3">
      <w:pPr>
        <w:rPr>
          <w:rFonts w:eastAsia="MS Mincho"/>
          <w:bCs/>
        </w:rPr>
      </w:pPr>
    </w:p>
    <w:p w:rsidR="00FF0CD3" w:rsidRPr="00037DAD" w:rsidRDefault="00FF0CD3" w:rsidP="00FF0CD3">
      <w:pPr>
        <w:rPr>
          <w:rFonts w:eastAsia="MS Mincho"/>
          <w:bCs/>
        </w:rPr>
      </w:pPr>
      <w:r>
        <w:rPr>
          <w:rFonts w:eastAsia="MS Mincho"/>
          <w:bCs/>
        </w:rPr>
        <w:t>Nøgletallene fremgår af bilag 1.</w:t>
      </w:r>
    </w:p>
    <w:p w:rsidR="00FF0CD3" w:rsidRPr="00C669E3" w:rsidRDefault="00FF0CD3" w:rsidP="00FF0CD3">
      <w:pPr>
        <w:rPr>
          <w:color w:val="000000"/>
        </w:rPr>
      </w:pPr>
    </w:p>
    <w:p w:rsidR="00AF2E87" w:rsidRPr="00AF2E87" w:rsidRDefault="00FF0CD3" w:rsidP="00AF2E87">
      <w:pPr>
        <w:rPr>
          <w:color w:val="000000"/>
        </w:rPr>
      </w:pPr>
      <w:r>
        <w:rPr>
          <w:b/>
          <w:color w:val="000000"/>
        </w:rPr>
        <w:t>1.5</w:t>
      </w:r>
      <w:r w:rsidRPr="00C669E3">
        <w:rPr>
          <w:b/>
          <w:color w:val="000000"/>
        </w:rPr>
        <w:t xml:space="preserve"> (5 %)</w:t>
      </w:r>
    </w:p>
    <w:p w:rsidR="00FF0CD3" w:rsidRPr="00C669E3" w:rsidRDefault="00FF0CD3" w:rsidP="00AF2E87">
      <w:pPr>
        <w:rPr>
          <w:color w:val="000000"/>
        </w:rPr>
      </w:pPr>
      <w:r w:rsidRPr="00AF2E87">
        <w:rPr>
          <w:color w:val="000000"/>
        </w:rPr>
        <w:t>Forklar, hvordan Søstrene Grenes Holding ApS’ likviditet overordnet har udviklet sig i 2017/18, og hvilke væsentlige</w:t>
      </w:r>
      <w:r w:rsidRPr="00C669E3">
        <w:rPr>
          <w:color w:val="000000"/>
        </w:rPr>
        <w:t xml:space="preserve"> forhold der har været årsag til udviklingen.</w:t>
      </w:r>
    </w:p>
    <w:p w:rsidR="00DF05E9" w:rsidRDefault="00DF05E9" w:rsidP="00FF0CD3">
      <w:pPr>
        <w:rPr>
          <w:color w:val="000000"/>
        </w:rPr>
      </w:pPr>
    </w:p>
    <w:p w:rsidR="00FF0CD3" w:rsidRDefault="00FF0CD3" w:rsidP="00FF0CD3">
      <w:pPr>
        <w:rPr>
          <w:color w:val="000000"/>
        </w:rPr>
      </w:pPr>
      <w:r w:rsidRPr="00C669E3">
        <w:rPr>
          <w:color w:val="000000"/>
        </w:rPr>
        <w:t>Pengestrømsopgørelsen fremgår af bilag 2.</w:t>
      </w:r>
    </w:p>
    <w:p w:rsidR="00FF0CD3" w:rsidRDefault="00FF0CD3" w:rsidP="00FF0CD3">
      <w:pPr>
        <w:rPr>
          <w:color w:val="000000"/>
        </w:rPr>
      </w:pPr>
    </w:p>
    <w:p w:rsidR="00AF2E87" w:rsidRPr="00AF2E87" w:rsidRDefault="00FF0CD3" w:rsidP="00FF0CD3">
      <w:pPr>
        <w:rPr>
          <w:color w:val="000000"/>
        </w:rPr>
      </w:pPr>
      <w:r w:rsidRPr="00C669E3">
        <w:rPr>
          <w:b/>
          <w:color w:val="000000"/>
        </w:rPr>
        <w:t>1.</w:t>
      </w:r>
      <w:r>
        <w:rPr>
          <w:b/>
          <w:color w:val="000000"/>
        </w:rPr>
        <w:t>6</w:t>
      </w:r>
      <w:r w:rsidR="00AF2E87">
        <w:rPr>
          <w:b/>
          <w:color w:val="000000"/>
        </w:rPr>
        <w:t xml:space="preserve"> (5 %)</w:t>
      </w:r>
    </w:p>
    <w:p w:rsidR="00FF0CD3" w:rsidRDefault="00FF0CD3" w:rsidP="00FF0CD3">
      <w:r>
        <w:t xml:space="preserve">Vurder, hvilken konkurrencestrategi Søstrene Grene bruger. </w:t>
      </w:r>
    </w:p>
    <w:p w:rsidR="00FF0CD3" w:rsidRPr="00FF0CD3" w:rsidRDefault="00FF0CD3" w:rsidP="00105E34">
      <w:pPr>
        <w:rPr>
          <w:bCs/>
        </w:rPr>
      </w:pPr>
    </w:p>
    <w:p w:rsidR="00FF0CD3" w:rsidRPr="00FF0CD3" w:rsidRDefault="00FF0CD3" w:rsidP="00105E34">
      <w:pPr>
        <w:rPr>
          <w:bCs/>
        </w:rPr>
      </w:pPr>
    </w:p>
    <w:p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</w:rPr>
        <w:t>2.1 (5 %)</w:t>
      </w:r>
    </w:p>
    <w:p w:rsidR="00FF0CD3" w:rsidRPr="00C669E3" w:rsidRDefault="00FF0CD3" w:rsidP="00FF0CD3">
      <w:r>
        <w:t>Re</w:t>
      </w:r>
      <w:r w:rsidR="00B00737">
        <w:t>degør for, hvorfor Bolighuset ApS</w:t>
      </w:r>
      <w:r>
        <w:t xml:space="preserve"> skal udarbejde en årsrapport.</w:t>
      </w:r>
    </w:p>
    <w:p w:rsidR="00FF0CD3" w:rsidRPr="00C669E3" w:rsidRDefault="00FF0CD3" w:rsidP="00FF0CD3">
      <w:pPr>
        <w:spacing w:line="276" w:lineRule="auto"/>
      </w:pPr>
    </w:p>
    <w:p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</w:rPr>
        <w:t>2</w:t>
      </w:r>
      <w:r>
        <w:rPr>
          <w:rStyle w:val="Strk"/>
          <w:color w:val="000000"/>
        </w:rPr>
        <w:t>.2</w:t>
      </w:r>
      <w:r w:rsidRPr="00C669E3">
        <w:rPr>
          <w:rStyle w:val="Strk"/>
          <w:color w:val="000000"/>
        </w:rPr>
        <w:t xml:space="preserve"> (5 %)</w:t>
      </w:r>
    </w:p>
    <w:p w:rsidR="00FF0CD3" w:rsidRPr="00C669E3" w:rsidRDefault="00FF0CD3" w:rsidP="00FF0CD3">
      <w:r w:rsidRPr="00C669E3">
        <w:t>Opstil en a</w:t>
      </w:r>
      <w:r>
        <w:t xml:space="preserve">rtopdelt resultatopgørelse </w:t>
      </w:r>
      <w:r w:rsidRPr="00C669E3">
        <w:t>for 2018</w:t>
      </w:r>
      <w:r>
        <w:t xml:space="preserve"> for Bolighuset ApS</w:t>
      </w:r>
      <w:r w:rsidRPr="00C669E3">
        <w:t>. Der skal ikke udarbejdes noter.</w:t>
      </w:r>
    </w:p>
    <w:p w:rsidR="00FF0CD3" w:rsidRPr="00C669E3" w:rsidRDefault="00FF0CD3" w:rsidP="00FF0CD3"/>
    <w:p w:rsidR="00FF0CD3" w:rsidRPr="00C669E3" w:rsidRDefault="00FF0CD3" w:rsidP="00FF0CD3">
      <w:r w:rsidRPr="00C669E3">
        <w:t>Saldobalancen fremgår af bilag 3.</w:t>
      </w:r>
    </w:p>
    <w:p w:rsidR="00FF0CD3" w:rsidRPr="00C669E3" w:rsidRDefault="00FF0CD3" w:rsidP="00FF0CD3">
      <w:r w:rsidRPr="00C669E3">
        <w:t xml:space="preserve">I bilag 4 findes en skabelon til resultatopgørelsen. </w:t>
      </w:r>
    </w:p>
    <w:p w:rsidR="00FF0CD3" w:rsidRPr="00C669E3" w:rsidRDefault="00FF0CD3" w:rsidP="00FF0CD3"/>
    <w:p w:rsidR="00AF2E87" w:rsidRDefault="00FF0CD3" w:rsidP="00FF0CD3">
      <w:r w:rsidRPr="00C669E3">
        <w:rPr>
          <w:b/>
          <w:bCs/>
        </w:rPr>
        <w:t>2</w:t>
      </w:r>
      <w:r w:rsidR="00DF24A5">
        <w:rPr>
          <w:b/>
          <w:bCs/>
        </w:rPr>
        <w:t>.3</w:t>
      </w:r>
      <w:r w:rsidRPr="00C669E3">
        <w:rPr>
          <w:b/>
          <w:bCs/>
        </w:rPr>
        <w:t xml:space="preserve"> (5 %)</w:t>
      </w:r>
    </w:p>
    <w:p w:rsidR="00FF0CD3" w:rsidRDefault="00FF0CD3" w:rsidP="00FF0CD3">
      <w:r>
        <w:t>Diskuter, hvordan Bolighuset ApS’ økonomi vil blive påvirket, hvis Helle Juul beslutter at flytte til nye og større lokaler.</w:t>
      </w:r>
    </w:p>
    <w:p w:rsidR="00DF24A5" w:rsidRPr="00C669E3" w:rsidRDefault="00DF24A5" w:rsidP="00FF0CD3"/>
    <w:p w:rsidR="00FF0CD3" w:rsidRPr="00FF0CD3" w:rsidRDefault="00FF0CD3" w:rsidP="00105E34">
      <w:pPr>
        <w:rPr>
          <w:bCs/>
        </w:rPr>
      </w:pPr>
    </w:p>
    <w:p w:rsidR="00FF0CD3" w:rsidRPr="00FF0CD3" w:rsidRDefault="00FF0CD3" w:rsidP="00105E34">
      <w:pPr>
        <w:rPr>
          <w:bCs/>
        </w:rPr>
      </w:pPr>
    </w:p>
    <w:p w:rsidR="00AF2E87" w:rsidRDefault="00FF0CD3" w:rsidP="00FF0CD3">
      <w:pPr>
        <w:rPr>
          <w:color w:val="000000"/>
        </w:rPr>
      </w:pPr>
      <w:r w:rsidRPr="00C669E3">
        <w:rPr>
          <w:b/>
          <w:bCs/>
        </w:rPr>
        <w:lastRenderedPageBreak/>
        <w:t>3.1</w:t>
      </w:r>
      <w:r>
        <w:rPr>
          <w:rStyle w:val="Strk"/>
          <w:color w:val="000000"/>
        </w:rPr>
        <w:t xml:space="preserve"> (5</w:t>
      </w:r>
      <w:r w:rsidRPr="00C669E3">
        <w:rPr>
          <w:rStyle w:val="Strk"/>
          <w:color w:val="000000"/>
        </w:rPr>
        <w:t xml:space="preserve"> %)</w:t>
      </w:r>
    </w:p>
    <w:p w:rsidR="00FF0CD3" w:rsidRPr="00C669E3" w:rsidRDefault="00FF0CD3" w:rsidP="00FF0CD3">
      <w:pPr>
        <w:rPr>
          <w:color w:val="000000"/>
        </w:rPr>
      </w:pPr>
      <w:r>
        <w:rPr>
          <w:color w:val="000000"/>
        </w:rPr>
        <w:t>Beregn de variable enhedsomkostninger for et bakkebord.</w:t>
      </w:r>
    </w:p>
    <w:p w:rsidR="00FF0CD3" w:rsidRPr="00C669E3" w:rsidRDefault="00FF0CD3" w:rsidP="00FF0CD3">
      <w:pPr>
        <w:rPr>
          <w:color w:val="000000"/>
        </w:rPr>
      </w:pPr>
    </w:p>
    <w:p w:rsidR="00FF0CD3" w:rsidRPr="00C669E3" w:rsidRDefault="00FF0CD3" w:rsidP="00FF0CD3">
      <w:pPr>
        <w:rPr>
          <w:color w:val="000000"/>
        </w:rPr>
      </w:pPr>
      <w:r w:rsidRPr="00C669E3">
        <w:rPr>
          <w:color w:val="000000"/>
        </w:rPr>
        <w:t xml:space="preserve">De </w:t>
      </w:r>
      <w:r>
        <w:rPr>
          <w:color w:val="000000"/>
        </w:rPr>
        <w:t>nødvendige informationer fremgår af bilag 5.</w:t>
      </w:r>
    </w:p>
    <w:p w:rsidR="00FF0CD3" w:rsidRDefault="00FF0CD3" w:rsidP="00FF0CD3">
      <w:pPr>
        <w:rPr>
          <w:color w:val="000000"/>
        </w:rPr>
      </w:pPr>
    </w:p>
    <w:p w:rsidR="00FF0CD3" w:rsidRPr="00C669E3" w:rsidRDefault="00FF0CD3" w:rsidP="00FF0CD3">
      <w:pPr>
        <w:rPr>
          <w:color w:val="000000"/>
        </w:rPr>
      </w:pPr>
      <w:r>
        <w:rPr>
          <w:rStyle w:val="Strk"/>
          <w:color w:val="000000"/>
        </w:rPr>
        <w:t>3.2</w:t>
      </w:r>
      <w:r w:rsidRPr="00C669E3">
        <w:rPr>
          <w:rStyle w:val="Strk"/>
          <w:color w:val="000000"/>
        </w:rPr>
        <w:t xml:space="preserve"> (5 %)</w:t>
      </w:r>
    </w:p>
    <w:p w:rsidR="00FF0CD3" w:rsidRPr="00C669E3" w:rsidRDefault="00FF0CD3" w:rsidP="00FF0CD3">
      <w:pPr>
        <w:rPr>
          <w:color w:val="000000"/>
        </w:rPr>
      </w:pPr>
      <w:r>
        <w:rPr>
          <w:color w:val="000000"/>
        </w:rPr>
        <w:t>Redegør for, hvordan den udarbejdede kalkulation kan bruges af House-Engros A/S.</w:t>
      </w:r>
    </w:p>
    <w:p w:rsidR="00FF0CD3" w:rsidRPr="00C669E3" w:rsidRDefault="00FF0CD3" w:rsidP="00FF0CD3">
      <w:pPr>
        <w:rPr>
          <w:color w:val="000000"/>
        </w:rPr>
      </w:pPr>
    </w:p>
    <w:p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</w:rPr>
        <w:t>3</w:t>
      </w:r>
      <w:r>
        <w:rPr>
          <w:rStyle w:val="Strk"/>
          <w:color w:val="000000"/>
        </w:rPr>
        <w:t>.3</w:t>
      </w:r>
      <w:r w:rsidRPr="00C669E3">
        <w:rPr>
          <w:rStyle w:val="Strk"/>
          <w:color w:val="000000"/>
        </w:rPr>
        <w:t xml:space="preserve"> (5 %)</w:t>
      </w:r>
    </w:p>
    <w:p w:rsidR="00FF0CD3" w:rsidRPr="00C669E3" w:rsidRDefault="00FF0CD3" w:rsidP="00FF0CD3">
      <w:pPr>
        <w:rPr>
          <w:color w:val="000000"/>
        </w:rPr>
      </w:pPr>
      <w:r>
        <w:rPr>
          <w:color w:val="000000"/>
        </w:rPr>
        <w:t>Beregn det</w:t>
      </w:r>
      <w:r w:rsidRPr="00C669E3">
        <w:rPr>
          <w:color w:val="000000"/>
        </w:rPr>
        <w:t xml:space="preserve"> forv</w:t>
      </w:r>
      <w:r>
        <w:rPr>
          <w:color w:val="000000"/>
        </w:rPr>
        <w:t>entede dækningsbidrag og den forventede dækningsgrad for et bakkebord.</w:t>
      </w:r>
    </w:p>
    <w:p w:rsidR="00FF0CD3" w:rsidRPr="00C669E3" w:rsidRDefault="00FF0CD3" w:rsidP="00FF0CD3">
      <w:pPr>
        <w:rPr>
          <w:color w:val="000000"/>
        </w:rPr>
      </w:pPr>
    </w:p>
    <w:p w:rsidR="00AF2E87" w:rsidRDefault="00FF0CD3" w:rsidP="00FF0CD3">
      <w:pPr>
        <w:rPr>
          <w:rStyle w:val="Strk"/>
          <w:color w:val="000000"/>
        </w:rPr>
      </w:pPr>
      <w:r w:rsidRPr="00C669E3">
        <w:rPr>
          <w:rStyle w:val="Strk"/>
          <w:color w:val="000000"/>
        </w:rPr>
        <w:t>3</w:t>
      </w:r>
      <w:r>
        <w:rPr>
          <w:rStyle w:val="Strk"/>
          <w:color w:val="000000"/>
        </w:rPr>
        <w:t>.4</w:t>
      </w:r>
      <w:r w:rsidRPr="00C669E3">
        <w:rPr>
          <w:rStyle w:val="Strk"/>
          <w:color w:val="000000"/>
        </w:rPr>
        <w:t xml:space="preserve"> (5 %)</w:t>
      </w:r>
    </w:p>
    <w:p w:rsidR="001B6C7E" w:rsidRDefault="001B6C7E" w:rsidP="00FF0CD3">
      <w:r>
        <w:t>Forklar, hvordan dækningsgraden påvirkes, hvis salgsprisen for et bakkebord bliver lavere end de budgetterede kr. 499.</w:t>
      </w:r>
    </w:p>
    <w:p w:rsidR="001B6C7E" w:rsidRDefault="001B6C7E" w:rsidP="00FF0CD3"/>
    <w:p w:rsidR="001B6C7E" w:rsidRDefault="001B6C7E" w:rsidP="00FF0CD3">
      <w:pPr>
        <w:rPr>
          <w:color w:val="000000"/>
        </w:rPr>
      </w:pPr>
    </w:p>
    <w:p w:rsidR="00AF2E87" w:rsidRPr="00AF2E87" w:rsidRDefault="00DF24A5" w:rsidP="00FF0CD3">
      <w:r>
        <w:rPr>
          <w:b/>
        </w:rPr>
        <w:t>4.1 (10</w:t>
      </w:r>
      <w:r w:rsidR="00AF2E87">
        <w:rPr>
          <w:b/>
        </w:rPr>
        <w:t xml:space="preserve"> %)</w:t>
      </w:r>
    </w:p>
    <w:p w:rsidR="00FF0CD3" w:rsidRPr="00C669E3" w:rsidRDefault="00FF0CD3" w:rsidP="00FF0CD3">
      <w:r>
        <w:t>Udarbejd et kvartalsopdelt resultatbudget for 2019/20 for Stine Justesens bolig- og livsstilsbutik.</w:t>
      </w:r>
    </w:p>
    <w:p w:rsidR="00FF0CD3" w:rsidRPr="00C669E3" w:rsidRDefault="00FF0CD3" w:rsidP="00FF0CD3"/>
    <w:p w:rsidR="00FF0CD3" w:rsidRDefault="00FF0CD3" w:rsidP="00FF0CD3">
      <w:r w:rsidRPr="00C669E3">
        <w:t xml:space="preserve">De nødvendige </w:t>
      </w:r>
      <w:r>
        <w:t>informationer fremgår af bilag 6</w:t>
      </w:r>
      <w:r w:rsidRPr="00C669E3">
        <w:t>.</w:t>
      </w:r>
    </w:p>
    <w:p w:rsidR="00FF0CD3" w:rsidRPr="00C669E3" w:rsidRDefault="00FF0CD3" w:rsidP="00FF0CD3">
      <w:r>
        <w:t>I bilag 6 er også en skabelon til resultatbudgettet.</w:t>
      </w:r>
    </w:p>
    <w:p w:rsidR="00FF0CD3" w:rsidRPr="00C669E3" w:rsidRDefault="00FF0CD3" w:rsidP="00FF0CD3"/>
    <w:p w:rsidR="00FF0CD3" w:rsidRPr="00AF2E87" w:rsidRDefault="00FF0CD3" w:rsidP="00FF0CD3">
      <w:r w:rsidRPr="00C669E3">
        <w:rPr>
          <w:b/>
        </w:rPr>
        <w:t>4.2 (5 %)</w:t>
      </w:r>
    </w:p>
    <w:p w:rsidR="00FF0CD3" w:rsidRPr="00C669E3" w:rsidRDefault="00FF0CD3" w:rsidP="00FF0CD3">
      <w:r>
        <w:t>Diskuter, om den budgetterede indtjening for 2019/20 er tilfredsstillende.</w:t>
      </w:r>
    </w:p>
    <w:p w:rsidR="00FF0CD3" w:rsidRPr="00FF0CD3" w:rsidRDefault="00FF0CD3" w:rsidP="00105E34">
      <w:pPr>
        <w:rPr>
          <w:bCs/>
        </w:rPr>
      </w:pPr>
    </w:p>
    <w:p w:rsidR="00105E34" w:rsidRPr="00B631DB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105E34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EA" w:rsidRDefault="00CF72EA" w:rsidP="006D2267">
      <w:r>
        <w:separator/>
      </w:r>
    </w:p>
  </w:endnote>
  <w:endnote w:type="continuationSeparator" w:id="0">
    <w:p w:rsidR="00CF72EA" w:rsidRDefault="00CF72EA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777" w:rsidRDefault="00824777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AB3F65">
      <w:rPr>
        <w:noProof/>
      </w:rPr>
      <w:t>2</w:t>
    </w:r>
    <w:r>
      <w:fldChar w:fldCharType="end"/>
    </w:r>
  </w:p>
  <w:p w:rsidR="00824777" w:rsidRDefault="00824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EA" w:rsidRDefault="00CF72EA" w:rsidP="006D2267">
      <w:r>
        <w:separator/>
      </w:r>
    </w:p>
  </w:footnote>
  <w:footnote w:type="continuationSeparator" w:id="0">
    <w:p w:rsidR="00CF72EA" w:rsidRDefault="00CF72EA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:rsidTr="005D23D3">
      <w:trPr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Navn: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Fag/hold: </w:t>
          </w:r>
        </w:p>
      </w:tc>
    </w:tr>
    <w:tr w:rsidR="001B383F" w:rsidRPr="00464A85" w:rsidTr="005D23D3">
      <w:trPr>
        <w:trHeight w:val="170"/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Skole: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Dato: </w:t>
          </w:r>
        </w:p>
      </w:tc>
    </w:tr>
    <w:tr w:rsidR="001B383F" w:rsidRPr="000A1521" w:rsidTr="005D23D3">
      <w:trPr>
        <w:trHeight w:val="70"/>
        <w:jc w:val="center"/>
      </w:trPr>
      <w:tc>
        <w:tcPr>
          <w:tcW w:w="5413" w:type="dxa"/>
        </w:tcPr>
        <w:p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da-DK"/>
            </w:rPr>
            <w:t xml:space="preserve">Eksamensnummer:  </w:t>
          </w:r>
        </w:p>
      </w:tc>
      <w:tc>
        <w:tcPr>
          <w:tcW w:w="4110" w:type="dxa"/>
        </w:tcPr>
        <w:p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da-DK"/>
            </w:rPr>
            <w:t xml:space="preserve">Side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PAGE </w:instrText>
          </w:r>
          <w:r w:rsidRPr="000A1521">
            <w:rPr>
              <w:lang w:val="en-US"/>
            </w:rPr>
            <w:fldChar w:fldCharType="separate"/>
          </w:r>
          <w:r w:rsidR="00AB3F65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  <w:r w:rsidRPr="001F65D3">
            <w:rPr>
              <w:lang w:val="da-DK"/>
            </w:rPr>
            <w:t xml:space="preserve"> af </w:t>
          </w:r>
          <w:r w:rsidRPr="000A1521">
            <w:rPr>
              <w:lang w:val="en-US"/>
            </w:rPr>
            <w:fldChar w:fldCharType="begin"/>
          </w:r>
          <w:r w:rsidRPr="001F65D3">
            <w:rPr>
              <w:lang w:val="da-DK"/>
            </w:rPr>
            <w:instrText xml:space="preserve"> NUMPAGES </w:instrText>
          </w:r>
          <w:r w:rsidRPr="000A1521">
            <w:rPr>
              <w:lang w:val="en-US"/>
            </w:rPr>
            <w:fldChar w:fldCharType="separate"/>
          </w:r>
          <w:r w:rsidR="00AB3F65">
            <w:rPr>
              <w:noProof/>
              <w:lang w:val="da-DK"/>
            </w:rPr>
            <w:t>2</w:t>
          </w:r>
          <w:r w:rsidRPr="000A1521">
            <w:rPr>
              <w:lang w:val="en-US"/>
            </w:rPr>
            <w:fldChar w:fldCharType="end"/>
          </w:r>
        </w:p>
      </w:tc>
    </w:tr>
  </w:tbl>
  <w:p w:rsidR="006D2267" w:rsidRDefault="006D22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90"/>
    <w:rsid w:val="00026F01"/>
    <w:rsid w:val="000340A7"/>
    <w:rsid w:val="00036BE3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B071E"/>
    <w:rsid w:val="003B6722"/>
    <w:rsid w:val="003C3459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948E5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B2800"/>
    <w:rsid w:val="00A07E9E"/>
    <w:rsid w:val="00A13A75"/>
    <w:rsid w:val="00A20641"/>
    <w:rsid w:val="00A22AED"/>
    <w:rsid w:val="00A41776"/>
    <w:rsid w:val="00A47801"/>
    <w:rsid w:val="00A65524"/>
    <w:rsid w:val="00A74DC6"/>
    <w:rsid w:val="00A83354"/>
    <w:rsid w:val="00AA7E00"/>
    <w:rsid w:val="00AB3F65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6909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4574A"/>
    <w:rsid w:val="00C45A4D"/>
    <w:rsid w:val="00C5390E"/>
    <w:rsid w:val="00C6075A"/>
    <w:rsid w:val="00C60C07"/>
    <w:rsid w:val="00C8062C"/>
    <w:rsid w:val="00C92180"/>
    <w:rsid w:val="00CA0777"/>
    <w:rsid w:val="00CA486B"/>
    <w:rsid w:val="00CE3138"/>
    <w:rsid w:val="00CF72EA"/>
    <w:rsid w:val="00D040E4"/>
    <w:rsid w:val="00D55A75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Hassing (JEHA - Underviser - VV - AK)</dc:creator>
  <cp:keywords/>
  <cp:lastModifiedBy>Anja Nielsen</cp:lastModifiedBy>
  <cp:revision>2</cp:revision>
  <dcterms:created xsi:type="dcterms:W3CDTF">2019-01-31T10:14:00Z</dcterms:created>
  <dcterms:modified xsi:type="dcterms:W3CDTF">2019-01-31T10:14:00Z</dcterms:modified>
</cp:coreProperties>
</file>